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25" w:rsidRDefault="001A1B25" w:rsidP="00DD4C2C">
      <w:pPr>
        <w:pStyle w:val="Heading1TOC2NotNumbered"/>
      </w:pPr>
      <w:bookmarkStart w:id="0" w:name="_Toc289414440"/>
      <w:r>
        <w:t>Recommendation Table</w:t>
      </w:r>
      <w:bookmarkEnd w:id="0"/>
    </w:p>
    <w:p w:rsidR="00DD4C2C" w:rsidRPr="00B40A11" w:rsidRDefault="00FE129C" w:rsidP="00DD4C2C">
      <w:pPr>
        <w:pStyle w:val="11ptCenter"/>
        <w:rPr>
          <w:rFonts w:ascii="Cambria" w:hAnsi="Cambria"/>
          <w:b/>
          <w:color w:val="244061"/>
          <w:sz w:val="28"/>
        </w:rPr>
      </w:pPr>
      <w:r>
        <w:rPr>
          <w:rFonts w:ascii="Cambria" w:hAnsi="Cambria"/>
          <w:b/>
          <w:color w:val="244061"/>
          <w:sz w:val="28"/>
        </w:rPr>
        <w:t>SBN</w:t>
      </w:r>
      <w:r w:rsidR="00F124F9">
        <w:rPr>
          <w:rFonts w:ascii="Cambria" w:hAnsi="Cambria"/>
          <w:b/>
          <w:color w:val="244061"/>
          <w:sz w:val="28"/>
        </w:rPr>
        <w:t>D TPC Technical</w:t>
      </w:r>
      <w:r>
        <w:rPr>
          <w:rFonts w:ascii="Cambria" w:hAnsi="Cambria"/>
          <w:b/>
          <w:color w:val="244061"/>
          <w:sz w:val="28"/>
        </w:rPr>
        <w:t xml:space="preserve"> Review</w:t>
      </w:r>
    </w:p>
    <w:p w:rsidR="00DD4C2C" w:rsidRPr="00B40A11" w:rsidRDefault="00F124F9" w:rsidP="00DD4C2C">
      <w:pPr>
        <w:pStyle w:val="11ptCenter"/>
        <w:rPr>
          <w:rFonts w:ascii="Cambria" w:hAnsi="Cambria"/>
          <w:b/>
          <w:color w:val="244061"/>
          <w:sz w:val="28"/>
        </w:rPr>
      </w:pPr>
      <w:r>
        <w:rPr>
          <w:rFonts w:ascii="Cambria" w:hAnsi="Cambria"/>
          <w:b/>
          <w:color w:val="244061"/>
          <w:sz w:val="28"/>
        </w:rPr>
        <w:t>28-29 Septem</w:t>
      </w:r>
      <w:r w:rsidR="00FE129C">
        <w:rPr>
          <w:rFonts w:ascii="Cambria" w:hAnsi="Cambria"/>
          <w:b/>
          <w:color w:val="244061"/>
          <w:sz w:val="28"/>
        </w:rPr>
        <w:t>ber, 2015</w:t>
      </w:r>
    </w:p>
    <w:p w:rsidR="00DD4C2C" w:rsidRPr="00E637CD" w:rsidRDefault="00DD4C2C" w:rsidP="00DD4C2C">
      <w:pPr>
        <w:pStyle w:val="10ptCenter"/>
        <w:rPr>
          <w:b/>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720"/>
        <w:gridCol w:w="6408"/>
        <w:gridCol w:w="1620"/>
        <w:gridCol w:w="3690"/>
        <w:gridCol w:w="1620"/>
      </w:tblGrid>
      <w:tr w:rsidR="00DD4C2C" w:rsidRPr="00E637CD" w:rsidTr="00DB65FB">
        <w:trPr>
          <w:cantSplit/>
          <w:tblHeader/>
          <w:jc w:val="center"/>
        </w:trPr>
        <w:tc>
          <w:tcPr>
            <w:tcW w:w="720" w:type="dxa"/>
            <w:vAlign w:val="center"/>
          </w:tcPr>
          <w:p w:rsidR="00DD4C2C" w:rsidRPr="00DB65FB" w:rsidRDefault="00DD4C2C" w:rsidP="00F124F9">
            <w:pPr>
              <w:pStyle w:val="TOC1"/>
            </w:pPr>
            <w:r w:rsidRPr="00DB65FB">
              <w:t>#</w:t>
            </w:r>
          </w:p>
        </w:tc>
        <w:tc>
          <w:tcPr>
            <w:tcW w:w="6408" w:type="dxa"/>
            <w:vAlign w:val="center"/>
          </w:tcPr>
          <w:p w:rsidR="00DD4C2C" w:rsidRPr="00DB65FB" w:rsidRDefault="00DD4C2C" w:rsidP="00F124F9">
            <w:pPr>
              <w:pStyle w:val="TOC1"/>
            </w:pPr>
            <w:r w:rsidRPr="00DB65FB">
              <w:t>Recommendations</w:t>
            </w:r>
          </w:p>
        </w:tc>
        <w:tc>
          <w:tcPr>
            <w:tcW w:w="1620" w:type="dxa"/>
            <w:vAlign w:val="center"/>
          </w:tcPr>
          <w:p w:rsidR="00DD4C2C" w:rsidRPr="00DB65FB" w:rsidRDefault="00DD4C2C" w:rsidP="00F124F9">
            <w:pPr>
              <w:pStyle w:val="TOC1"/>
            </w:pPr>
            <w:r w:rsidRPr="00DB65FB">
              <w:t>Assigned to</w:t>
            </w:r>
          </w:p>
        </w:tc>
        <w:tc>
          <w:tcPr>
            <w:tcW w:w="3690" w:type="dxa"/>
            <w:vAlign w:val="center"/>
          </w:tcPr>
          <w:p w:rsidR="00DD4C2C" w:rsidRPr="00DB65FB" w:rsidRDefault="00DD4C2C" w:rsidP="00F124F9">
            <w:pPr>
              <w:pStyle w:val="TOC1"/>
            </w:pPr>
            <w:r w:rsidRPr="00DB65FB">
              <w:t>Status/Action</w:t>
            </w:r>
          </w:p>
        </w:tc>
        <w:tc>
          <w:tcPr>
            <w:tcW w:w="1620" w:type="dxa"/>
            <w:vAlign w:val="center"/>
          </w:tcPr>
          <w:p w:rsidR="00DD4C2C" w:rsidRDefault="00DD4C2C" w:rsidP="00F124F9">
            <w:pPr>
              <w:pStyle w:val="TOC1"/>
            </w:pPr>
            <w:r w:rsidRPr="0096188B">
              <w:t>Date</w:t>
            </w:r>
          </w:p>
          <w:p w:rsidR="00DB65FB" w:rsidRPr="00DB65FB" w:rsidRDefault="00DB65FB" w:rsidP="00DB65FB">
            <w:pPr>
              <w:jc w:val="center"/>
              <w:rPr>
                <w:sz w:val="20"/>
                <w:szCs w:val="20"/>
              </w:rPr>
            </w:pPr>
            <w:r w:rsidRPr="00DB65FB">
              <w:rPr>
                <w:sz w:val="20"/>
                <w:szCs w:val="20"/>
              </w:rPr>
              <w:t>Updated or Completed</w:t>
            </w:r>
          </w:p>
        </w:tc>
      </w:tr>
      <w:tr w:rsidR="00CE0072" w:rsidRPr="00B455F8" w:rsidTr="0050688F">
        <w:trPr>
          <w:cantSplit/>
          <w:jc w:val="center"/>
        </w:trPr>
        <w:tc>
          <w:tcPr>
            <w:tcW w:w="720" w:type="dxa"/>
          </w:tcPr>
          <w:p w:rsidR="00CE0072" w:rsidRPr="00DB65FB" w:rsidRDefault="00CE0072" w:rsidP="00F124F9">
            <w:pPr>
              <w:pStyle w:val="TOC1"/>
            </w:pPr>
          </w:p>
        </w:tc>
        <w:tc>
          <w:tcPr>
            <w:tcW w:w="6408" w:type="dxa"/>
            <w:vAlign w:val="center"/>
          </w:tcPr>
          <w:p w:rsidR="00CE0072" w:rsidRPr="00DB65FB" w:rsidRDefault="00F124F9" w:rsidP="00DD4C2C">
            <w:pPr>
              <w:pStyle w:val="ListNumberRecommendations"/>
              <w:tabs>
                <w:tab w:val="clear" w:pos="720"/>
              </w:tabs>
              <w:spacing w:after="0"/>
              <w:ind w:left="0" w:firstLine="0"/>
            </w:pPr>
            <w:r>
              <w:rPr>
                <w:b/>
                <w:bCs/>
              </w:rPr>
              <w:t>TPC Components – APA Frame</w:t>
            </w:r>
          </w:p>
        </w:tc>
        <w:tc>
          <w:tcPr>
            <w:tcW w:w="1620" w:type="dxa"/>
          </w:tcPr>
          <w:p w:rsidR="00CE0072" w:rsidRPr="00DB65FB" w:rsidRDefault="00CE0072" w:rsidP="00F124F9">
            <w:pPr>
              <w:pStyle w:val="TOC1"/>
            </w:pPr>
          </w:p>
        </w:tc>
        <w:tc>
          <w:tcPr>
            <w:tcW w:w="3690" w:type="dxa"/>
          </w:tcPr>
          <w:p w:rsidR="00CE0072" w:rsidRPr="00DB65FB" w:rsidRDefault="00CE0072" w:rsidP="00F124F9">
            <w:pPr>
              <w:pStyle w:val="TOC1"/>
            </w:pPr>
          </w:p>
        </w:tc>
        <w:tc>
          <w:tcPr>
            <w:tcW w:w="1620" w:type="dxa"/>
          </w:tcPr>
          <w:p w:rsidR="00CE0072" w:rsidRPr="00DB65FB" w:rsidRDefault="00CE0072" w:rsidP="00F124F9">
            <w:pPr>
              <w:pStyle w:val="TOC1"/>
            </w:pPr>
          </w:p>
        </w:tc>
      </w:tr>
      <w:tr w:rsidR="00DD4C2C" w:rsidRPr="00B455F8" w:rsidTr="00F124F9">
        <w:trPr>
          <w:cantSplit/>
          <w:jc w:val="center"/>
        </w:trPr>
        <w:tc>
          <w:tcPr>
            <w:tcW w:w="720" w:type="dxa"/>
            <w:vAlign w:val="center"/>
          </w:tcPr>
          <w:p w:rsidR="0096188B" w:rsidRPr="00DB65FB" w:rsidRDefault="0096188B" w:rsidP="00F124F9">
            <w:pPr>
              <w:pStyle w:val="TOC1"/>
            </w:pPr>
          </w:p>
          <w:p w:rsidR="00DD4C2C" w:rsidRPr="00DB65FB" w:rsidRDefault="00DD4C2C" w:rsidP="00F124F9">
            <w:pPr>
              <w:pStyle w:val="TOC1"/>
            </w:pPr>
            <w:r w:rsidRPr="00DB65FB">
              <w:t>1.</w:t>
            </w:r>
          </w:p>
        </w:tc>
        <w:tc>
          <w:tcPr>
            <w:tcW w:w="6408" w:type="dxa"/>
            <w:vAlign w:val="center"/>
          </w:tcPr>
          <w:p w:rsidR="00DD4C2C" w:rsidRPr="00DB65FB" w:rsidRDefault="00F124F9" w:rsidP="00DB65FB">
            <w:pPr>
              <w:autoSpaceDE w:val="0"/>
              <w:autoSpaceDN w:val="0"/>
              <w:adjustRightInd w:val="0"/>
              <w:spacing w:after="0"/>
              <w:jc w:val="left"/>
              <w:rPr>
                <w:rFonts w:ascii="TimesNewRomanPSMT" w:hAnsi="TimesNewRomanPSMT" w:cs="TimesNewRomanPSMT"/>
              </w:rPr>
            </w:pPr>
            <w:r>
              <w:t>Look into why the company promising +/-2mm is so different from the others.  Are they believable? Or, are the other companies just being overly cautious?</w:t>
            </w:r>
          </w:p>
        </w:tc>
        <w:tc>
          <w:tcPr>
            <w:tcW w:w="1620" w:type="dxa"/>
          </w:tcPr>
          <w:p w:rsidR="00DD4C2C" w:rsidRPr="00DB65FB" w:rsidRDefault="00DD4C2C" w:rsidP="00F124F9">
            <w:pPr>
              <w:pStyle w:val="TOC1"/>
            </w:pPr>
          </w:p>
        </w:tc>
        <w:tc>
          <w:tcPr>
            <w:tcW w:w="3690" w:type="dxa"/>
          </w:tcPr>
          <w:p w:rsidR="00DD4C2C" w:rsidRPr="00DB65FB" w:rsidRDefault="00DD4C2C" w:rsidP="00F124F9">
            <w:pPr>
              <w:pStyle w:val="TOC1"/>
            </w:pPr>
          </w:p>
        </w:tc>
        <w:tc>
          <w:tcPr>
            <w:tcW w:w="1620" w:type="dxa"/>
          </w:tcPr>
          <w:p w:rsidR="00DD4C2C" w:rsidRPr="00592345" w:rsidRDefault="00DD4C2C" w:rsidP="00F124F9">
            <w:pPr>
              <w:pStyle w:val="TOC1"/>
            </w:pPr>
          </w:p>
        </w:tc>
      </w:tr>
      <w:tr w:rsidR="00DD4C2C" w:rsidRPr="00B455F8" w:rsidTr="00F124F9">
        <w:trPr>
          <w:cantSplit/>
          <w:trHeight w:val="260"/>
          <w:jc w:val="center"/>
        </w:trPr>
        <w:tc>
          <w:tcPr>
            <w:tcW w:w="720" w:type="dxa"/>
            <w:vAlign w:val="center"/>
          </w:tcPr>
          <w:p w:rsidR="00DD4C2C" w:rsidRPr="00DB65FB" w:rsidRDefault="00DD4C2C" w:rsidP="00F124F9">
            <w:pPr>
              <w:pStyle w:val="TOC1"/>
            </w:pPr>
            <w:r w:rsidRPr="00DB65FB">
              <w:t>2.</w:t>
            </w:r>
          </w:p>
        </w:tc>
        <w:tc>
          <w:tcPr>
            <w:tcW w:w="6408" w:type="dxa"/>
          </w:tcPr>
          <w:p w:rsidR="00DD4C2C" w:rsidRPr="00DB65FB" w:rsidRDefault="00F124F9" w:rsidP="00DB65FB">
            <w:pPr>
              <w:autoSpaceDE w:val="0"/>
              <w:autoSpaceDN w:val="0"/>
              <w:adjustRightInd w:val="0"/>
              <w:spacing w:after="0"/>
              <w:jc w:val="left"/>
              <w:rPr>
                <w:rFonts w:ascii="TimesNewRomanPSMT" w:hAnsi="TimesNewRomanPSMT" w:cs="TimesNewRomanPSMT"/>
              </w:rPr>
            </w:pPr>
            <w:r w:rsidRPr="00B83E8E">
              <w:t xml:space="preserve">Survey additional companies for the manufacture of the APA frame </w:t>
            </w:r>
            <w:r>
              <w:t>and attempt to</w:t>
            </w:r>
            <w:r w:rsidRPr="00B83E8E">
              <w:t xml:space="preserve"> identify manufacturers that have the capability to manufacture the frames within spec.  Solicit recommendations from candidate companies about achieving the flatness spec.</w:t>
            </w:r>
          </w:p>
        </w:tc>
        <w:tc>
          <w:tcPr>
            <w:tcW w:w="1620" w:type="dxa"/>
          </w:tcPr>
          <w:p w:rsidR="00DD4C2C" w:rsidRPr="00DB65FB" w:rsidRDefault="00DD4C2C" w:rsidP="00F124F9">
            <w:pPr>
              <w:pStyle w:val="TOC1"/>
            </w:pPr>
          </w:p>
        </w:tc>
        <w:tc>
          <w:tcPr>
            <w:tcW w:w="3690" w:type="dxa"/>
          </w:tcPr>
          <w:p w:rsidR="00DD4C2C" w:rsidRPr="00DB65FB" w:rsidRDefault="00DD4C2C" w:rsidP="00F124F9">
            <w:pPr>
              <w:pStyle w:val="TOC1"/>
            </w:pPr>
          </w:p>
        </w:tc>
        <w:tc>
          <w:tcPr>
            <w:tcW w:w="1620" w:type="dxa"/>
          </w:tcPr>
          <w:p w:rsidR="00DD4C2C" w:rsidRPr="00DB65FB" w:rsidRDefault="00DD4C2C" w:rsidP="00F124F9">
            <w:pPr>
              <w:pStyle w:val="TOC1"/>
            </w:pPr>
          </w:p>
        </w:tc>
      </w:tr>
      <w:tr w:rsidR="00DB65FB" w:rsidRPr="00B455F8" w:rsidTr="0050688F">
        <w:trPr>
          <w:cantSplit/>
          <w:trHeight w:val="260"/>
          <w:jc w:val="center"/>
        </w:trPr>
        <w:tc>
          <w:tcPr>
            <w:tcW w:w="720" w:type="dxa"/>
          </w:tcPr>
          <w:p w:rsidR="00DB65FB" w:rsidRPr="00DB65FB" w:rsidRDefault="00DB65FB" w:rsidP="00F124F9">
            <w:pPr>
              <w:pStyle w:val="TOC1"/>
            </w:pPr>
            <w:r>
              <w:t>3.</w:t>
            </w:r>
          </w:p>
        </w:tc>
        <w:tc>
          <w:tcPr>
            <w:tcW w:w="6408" w:type="dxa"/>
          </w:tcPr>
          <w:p w:rsidR="00C97131" w:rsidRPr="00F124F9" w:rsidRDefault="00F124F9" w:rsidP="00DB65FB">
            <w:pPr>
              <w:pStyle w:val="Default"/>
              <w:rPr>
                <w:rFonts w:ascii="TimesNewRomanPSMT" w:hAnsi="TimesNewRomanPSMT" w:cs="TimesNewRomanPSMT"/>
              </w:rPr>
            </w:pPr>
            <w:r w:rsidRPr="009A2B51">
              <w:t xml:space="preserve">Consider relaxing the </w:t>
            </w:r>
            <w:r>
              <w:t>flatness spec.  Pursue the back</w:t>
            </w:r>
            <w:r w:rsidRPr="009A2B51">
              <w:t>up plan</w:t>
            </w:r>
            <w:r>
              <w:t>s</w:t>
            </w:r>
            <w:r w:rsidRPr="009A2B51">
              <w:t xml:space="preserve"> of</w:t>
            </w:r>
            <w:r>
              <w:t xml:space="preserve"> leveling bars and/or </w:t>
            </w:r>
            <w:r w:rsidRPr="009A2B51">
              <w:t>shimming the geometry boards that define the wire planes</w:t>
            </w:r>
          </w:p>
        </w:tc>
        <w:tc>
          <w:tcPr>
            <w:tcW w:w="1620" w:type="dxa"/>
          </w:tcPr>
          <w:p w:rsidR="00DB65FB" w:rsidRPr="00DB65FB" w:rsidRDefault="00DB65FB" w:rsidP="00F124F9">
            <w:pPr>
              <w:pStyle w:val="TOC1"/>
            </w:pPr>
          </w:p>
        </w:tc>
        <w:tc>
          <w:tcPr>
            <w:tcW w:w="3690" w:type="dxa"/>
          </w:tcPr>
          <w:p w:rsidR="00DB65FB" w:rsidRPr="00DB65FB" w:rsidRDefault="00DB65FB" w:rsidP="00F124F9">
            <w:pPr>
              <w:pStyle w:val="TOC1"/>
            </w:pPr>
          </w:p>
        </w:tc>
        <w:tc>
          <w:tcPr>
            <w:tcW w:w="1620" w:type="dxa"/>
          </w:tcPr>
          <w:p w:rsidR="00DB65FB" w:rsidRPr="00DB65FB" w:rsidRDefault="00DB65FB" w:rsidP="00F124F9">
            <w:pPr>
              <w:pStyle w:val="TOC1"/>
            </w:pPr>
          </w:p>
        </w:tc>
      </w:tr>
      <w:tr w:rsidR="00F124F9" w:rsidRPr="00B455F8" w:rsidTr="0050688F">
        <w:trPr>
          <w:cantSplit/>
          <w:trHeight w:val="260"/>
          <w:jc w:val="center"/>
        </w:trPr>
        <w:tc>
          <w:tcPr>
            <w:tcW w:w="720" w:type="dxa"/>
          </w:tcPr>
          <w:p w:rsidR="00F124F9" w:rsidRDefault="00F124F9" w:rsidP="00F124F9">
            <w:pPr>
              <w:pStyle w:val="TOC1"/>
            </w:pPr>
            <w:r>
              <w:t>4.</w:t>
            </w:r>
          </w:p>
        </w:tc>
        <w:tc>
          <w:tcPr>
            <w:tcW w:w="6408" w:type="dxa"/>
          </w:tcPr>
          <w:p w:rsidR="00F124F9" w:rsidRDefault="00F124F9" w:rsidP="00F124F9">
            <w:pPr>
              <w:pStyle w:val="Default"/>
            </w:pPr>
            <w:r>
              <w:t>Develop flatness measuring tooling for the APAs.  This tooling should be used to:</w:t>
            </w:r>
          </w:p>
          <w:p w:rsidR="00F124F9" w:rsidRDefault="00F124F9" w:rsidP="00F124F9">
            <w:pPr>
              <w:pStyle w:val="Default"/>
              <w:ind w:left="360"/>
            </w:pPr>
            <w:r>
              <w:t>1. Ensure the flatness spec is met for each APA frame</w:t>
            </w:r>
          </w:p>
          <w:p w:rsidR="00F124F9" w:rsidRPr="009A2B51" w:rsidRDefault="00F124F9" w:rsidP="00F124F9">
            <w:pPr>
              <w:pStyle w:val="Default"/>
              <w:ind w:left="360"/>
            </w:pPr>
            <w:r>
              <w:t>2. Measure flatness deviation to develop a shimming plan for the geometry boards that define the wire planes</w:t>
            </w:r>
          </w:p>
        </w:tc>
        <w:tc>
          <w:tcPr>
            <w:tcW w:w="1620" w:type="dxa"/>
          </w:tcPr>
          <w:p w:rsidR="00F124F9" w:rsidRPr="00DB65FB" w:rsidRDefault="00F124F9" w:rsidP="00F124F9">
            <w:pPr>
              <w:pStyle w:val="TOC1"/>
            </w:pPr>
          </w:p>
        </w:tc>
        <w:tc>
          <w:tcPr>
            <w:tcW w:w="3690" w:type="dxa"/>
          </w:tcPr>
          <w:p w:rsidR="00F124F9" w:rsidRPr="00DB65FB" w:rsidRDefault="00F124F9" w:rsidP="00F124F9">
            <w:pPr>
              <w:pStyle w:val="TOC1"/>
            </w:pPr>
          </w:p>
        </w:tc>
        <w:tc>
          <w:tcPr>
            <w:tcW w:w="1620" w:type="dxa"/>
          </w:tcPr>
          <w:p w:rsidR="00F124F9" w:rsidRPr="00DB65FB" w:rsidRDefault="00F124F9" w:rsidP="00F124F9">
            <w:pPr>
              <w:pStyle w:val="TOC1"/>
            </w:pPr>
          </w:p>
        </w:tc>
      </w:tr>
      <w:tr w:rsidR="00F124F9" w:rsidRPr="00B455F8" w:rsidTr="0050688F">
        <w:trPr>
          <w:cantSplit/>
          <w:trHeight w:val="260"/>
          <w:jc w:val="center"/>
        </w:trPr>
        <w:tc>
          <w:tcPr>
            <w:tcW w:w="720" w:type="dxa"/>
          </w:tcPr>
          <w:p w:rsidR="00F124F9" w:rsidRDefault="00F124F9" w:rsidP="00F124F9">
            <w:pPr>
              <w:pStyle w:val="TOC1"/>
            </w:pPr>
            <w:r>
              <w:lastRenderedPageBreak/>
              <w:t>5.</w:t>
            </w:r>
          </w:p>
        </w:tc>
        <w:tc>
          <w:tcPr>
            <w:tcW w:w="6408" w:type="dxa"/>
          </w:tcPr>
          <w:p w:rsidR="00F124F9" w:rsidRPr="009A2B51" w:rsidRDefault="00F124F9" w:rsidP="00DB65FB">
            <w:pPr>
              <w:pStyle w:val="Default"/>
            </w:pPr>
            <w:r w:rsidRPr="00F124F9">
              <w:t>A hand calculation shows the deflection of the frame under its own weight when supported at the ends would be roughly 0.5mm.  This is not a problem since the APA will be used vertically.  It is important however that the group is clear about what they mean by flatness and have defined a reference support condition for measuring flatness</w:t>
            </w:r>
          </w:p>
        </w:tc>
        <w:tc>
          <w:tcPr>
            <w:tcW w:w="1620" w:type="dxa"/>
          </w:tcPr>
          <w:p w:rsidR="00F124F9" w:rsidRPr="00DB65FB" w:rsidRDefault="00F124F9" w:rsidP="00F124F9">
            <w:pPr>
              <w:pStyle w:val="TOC1"/>
            </w:pPr>
          </w:p>
        </w:tc>
        <w:tc>
          <w:tcPr>
            <w:tcW w:w="3690" w:type="dxa"/>
          </w:tcPr>
          <w:p w:rsidR="00F124F9" w:rsidRPr="00DB65FB" w:rsidRDefault="00F124F9" w:rsidP="00F124F9">
            <w:pPr>
              <w:pStyle w:val="TOC1"/>
            </w:pPr>
          </w:p>
        </w:tc>
        <w:tc>
          <w:tcPr>
            <w:tcW w:w="1620" w:type="dxa"/>
          </w:tcPr>
          <w:p w:rsidR="00F124F9" w:rsidRPr="00DB65FB" w:rsidRDefault="00F124F9" w:rsidP="00F124F9">
            <w:pPr>
              <w:pStyle w:val="TOC1"/>
            </w:pPr>
          </w:p>
        </w:tc>
      </w:tr>
      <w:tr w:rsidR="00F124F9" w:rsidRPr="00B455F8" w:rsidTr="0050688F">
        <w:trPr>
          <w:cantSplit/>
          <w:trHeight w:val="260"/>
          <w:jc w:val="center"/>
        </w:trPr>
        <w:tc>
          <w:tcPr>
            <w:tcW w:w="720" w:type="dxa"/>
          </w:tcPr>
          <w:p w:rsidR="00F124F9" w:rsidRDefault="00F124F9" w:rsidP="00F124F9">
            <w:pPr>
              <w:pStyle w:val="TOC1"/>
            </w:pPr>
            <w:r>
              <w:t>6.</w:t>
            </w:r>
          </w:p>
        </w:tc>
        <w:tc>
          <w:tcPr>
            <w:tcW w:w="6408" w:type="dxa"/>
          </w:tcPr>
          <w:p w:rsidR="00F124F9" w:rsidRPr="00F124F9" w:rsidRDefault="00F124F9" w:rsidP="00DB65FB">
            <w:pPr>
              <w:pStyle w:val="Default"/>
            </w:pPr>
            <w:r w:rsidRPr="00F124F9">
              <w:t>Reexamine the loading and constraint conditions in the FEA of the APA frame.  Make sure they are realistic and accurately reflect the actual loading and constraint</w:t>
            </w:r>
          </w:p>
        </w:tc>
        <w:tc>
          <w:tcPr>
            <w:tcW w:w="1620" w:type="dxa"/>
          </w:tcPr>
          <w:p w:rsidR="00F124F9" w:rsidRPr="00DB65FB" w:rsidRDefault="00F124F9" w:rsidP="00F124F9">
            <w:pPr>
              <w:pStyle w:val="TOC1"/>
            </w:pPr>
          </w:p>
        </w:tc>
        <w:tc>
          <w:tcPr>
            <w:tcW w:w="3690" w:type="dxa"/>
          </w:tcPr>
          <w:p w:rsidR="00F124F9" w:rsidRPr="00DB65FB" w:rsidRDefault="00F124F9" w:rsidP="00F124F9">
            <w:pPr>
              <w:pStyle w:val="TOC1"/>
            </w:pPr>
          </w:p>
        </w:tc>
        <w:tc>
          <w:tcPr>
            <w:tcW w:w="1620" w:type="dxa"/>
          </w:tcPr>
          <w:p w:rsidR="00F124F9" w:rsidRPr="00DB65FB" w:rsidRDefault="00F124F9" w:rsidP="00F124F9">
            <w:pPr>
              <w:pStyle w:val="TOC1"/>
            </w:pPr>
          </w:p>
        </w:tc>
      </w:tr>
      <w:tr w:rsidR="00E637CD" w:rsidRPr="00B455F8" w:rsidTr="0050688F">
        <w:trPr>
          <w:cantSplit/>
          <w:jc w:val="center"/>
        </w:trPr>
        <w:tc>
          <w:tcPr>
            <w:tcW w:w="720" w:type="dxa"/>
          </w:tcPr>
          <w:p w:rsidR="00E637CD" w:rsidRPr="00DB65FB" w:rsidRDefault="00E637CD" w:rsidP="00F124F9">
            <w:pPr>
              <w:pStyle w:val="TOC1"/>
            </w:pPr>
          </w:p>
        </w:tc>
        <w:tc>
          <w:tcPr>
            <w:tcW w:w="6408" w:type="dxa"/>
          </w:tcPr>
          <w:p w:rsidR="00E637CD" w:rsidRPr="00DB65FB" w:rsidRDefault="00F124F9" w:rsidP="00E637CD">
            <w:pPr>
              <w:spacing w:after="0"/>
              <w:rPr>
                <w:noProof/>
              </w:rPr>
            </w:pPr>
            <w:r>
              <w:rPr>
                <w:b/>
                <w:bCs/>
              </w:rPr>
              <w:t>TPC Components –</w:t>
            </w:r>
            <w:r>
              <w:rPr>
                <w:b/>
                <w:bCs/>
              </w:rPr>
              <w:t xml:space="preserve"> C</w:t>
            </w:r>
            <w:r>
              <w:rPr>
                <w:b/>
                <w:bCs/>
              </w:rPr>
              <w:t>PA Frame</w:t>
            </w:r>
          </w:p>
        </w:tc>
        <w:tc>
          <w:tcPr>
            <w:tcW w:w="1620" w:type="dxa"/>
          </w:tcPr>
          <w:p w:rsidR="00E637CD" w:rsidRPr="00DB65FB" w:rsidRDefault="00E637CD" w:rsidP="00F124F9">
            <w:pPr>
              <w:pStyle w:val="TOC1"/>
            </w:pPr>
          </w:p>
        </w:tc>
        <w:tc>
          <w:tcPr>
            <w:tcW w:w="3690" w:type="dxa"/>
          </w:tcPr>
          <w:p w:rsidR="00E637CD" w:rsidRPr="00DB65FB" w:rsidRDefault="00E637CD" w:rsidP="00F124F9">
            <w:pPr>
              <w:pStyle w:val="TOC1"/>
            </w:pPr>
          </w:p>
        </w:tc>
        <w:tc>
          <w:tcPr>
            <w:tcW w:w="1620" w:type="dxa"/>
          </w:tcPr>
          <w:p w:rsidR="00E637CD" w:rsidRPr="00DB65FB" w:rsidRDefault="00E637CD" w:rsidP="00F124F9">
            <w:pPr>
              <w:pStyle w:val="TOC1"/>
            </w:pPr>
          </w:p>
        </w:tc>
      </w:tr>
      <w:tr w:rsidR="00DD4C2C" w:rsidRPr="00B455F8" w:rsidTr="0050688F">
        <w:trPr>
          <w:cantSplit/>
          <w:jc w:val="center"/>
        </w:trPr>
        <w:tc>
          <w:tcPr>
            <w:tcW w:w="720" w:type="dxa"/>
          </w:tcPr>
          <w:p w:rsidR="00DD4C2C" w:rsidRPr="00DB65FB" w:rsidRDefault="00F124F9" w:rsidP="00F124F9">
            <w:pPr>
              <w:pStyle w:val="TOC1"/>
            </w:pPr>
            <w:r>
              <w:t>7</w:t>
            </w:r>
            <w:r w:rsidR="00DD4C2C" w:rsidRPr="00DB65FB">
              <w:t>.</w:t>
            </w:r>
          </w:p>
        </w:tc>
        <w:tc>
          <w:tcPr>
            <w:tcW w:w="6408" w:type="dxa"/>
          </w:tcPr>
          <w:p w:rsidR="00DD4C2C" w:rsidRPr="00DB65FB" w:rsidRDefault="00F124F9" w:rsidP="00C97131">
            <w:pPr>
              <w:pStyle w:val="Default"/>
              <w:rPr>
                <w:color w:val="auto"/>
              </w:rPr>
            </w:pPr>
            <w:r>
              <w:t>To fully define the design of CPA, complete investigation on planarity and integration with TPC cage.</w:t>
            </w:r>
          </w:p>
        </w:tc>
        <w:tc>
          <w:tcPr>
            <w:tcW w:w="1620" w:type="dxa"/>
          </w:tcPr>
          <w:p w:rsidR="00DD4C2C" w:rsidRPr="00DB65FB" w:rsidRDefault="00DD4C2C" w:rsidP="00F124F9">
            <w:pPr>
              <w:pStyle w:val="TOC1"/>
            </w:pPr>
          </w:p>
        </w:tc>
        <w:tc>
          <w:tcPr>
            <w:tcW w:w="3690" w:type="dxa"/>
          </w:tcPr>
          <w:p w:rsidR="00DD4C2C" w:rsidRPr="00DB65FB" w:rsidRDefault="00DD4C2C" w:rsidP="00F124F9">
            <w:pPr>
              <w:pStyle w:val="TOC1"/>
            </w:pPr>
          </w:p>
        </w:tc>
        <w:tc>
          <w:tcPr>
            <w:tcW w:w="1620" w:type="dxa"/>
          </w:tcPr>
          <w:p w:rsidR="00DD4C2C" w:rsidRPr="00DB65FB" w:rsidRDefault="00DD4C2C" w:rsidP="00F124F9">
            <w:pPr>
              <w:pStyle w:val="TOC1"/>
            </w:pPr>
          </w:p>
        </w:tc>
      </w:tr>
      <w:tr w:rsidR="00F124F9" w:rsidRPr="00B455F8" w:rsidTr="0050688F">
        <w:trPr>
          <w:cantSplit/>
          <w:jc w:val="center"/>
        </w:trPr>
        <w:tc>
          <w:tcPr>
            <w:tcW w:w="720" w:type="dxa"/>
          </w:tcPr>
          <w:p w:rsidR="00F124F9" w:rsidRDefault="00F124F9" w:rsidP="00F124F9">
            <w:pPr>
              <w:pStyle w:val="TOC1"/>
            </w:pPr>
            <w:r>
              <w:t>8.</w:t>
            </w:r>
          </w:p>
        </w:tc>
        <w:tc>
          <w:tcPr>
            <w:tcW w:w="6408" w:type="dxa"/>
          </w:tcPr>
          <w:p w:rsidR="00F124F9" w:rsidRDefault="00E92CC9" w:rsidP="00C97131">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Develop procedures for stretching mesh over frame and for QA of finished product to eliminate possibility of sharp/frayed edges.</w:t>
            </w:r>
          </w:p>
        </w:tc>
        <w:tc>
          <w:tcPr>
            <w:tcW w:w="1620" w:type="dxa"/>
          </w:tcPr>
          <w:p w:rsidR="00F124F9" w:rsidRPr="00DB65FB" w:rsidRDefault="00F124F9" w:rsidP="00F124F9">
            <w:pPr>
              <w:pStyle w:val="TOC1"/>
            </w:pPr>
          </w:p>
        </w:tc>
        <w:tc>
          <w:tcPr>
            <w:tcW w:w="3690" w:type="dxa"/>
          </w:tcPr>
          <w:p w:rsidR="00F124F9" w:rsidRPr="00DB65FB" w:rsidRDefault="00F124F9" w:rsidP="00F124F9">
            <w:pPr>
              <w:pStyle w:val="TOC1"/>
            </w:pPr>
          </w:p>
        </w:tc>
        <w:tc>
          <w:tcPr>
            <w:tcW w:w="1620" w:type="dxa"/>
          </w:tcPr>
          <w:p w:rsidR="00F124F9" w:rsidRPr="00DB65FB" w:rsidRDefault="00F124F9" w:rsidP="00F124F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DB65FB" w:rsidRDefault="00E92CC9" w:rsidP="00E92CC9">
            <w:pPr>
              <w:spacing w:after="0"/>
              <w:rPr>
                <w:noProof/>
              </w:rPr>
            </w:pPr>
            <w:r>
              <w:rPr>
                <w:b/>
                <w:bCs/>
              </w:rPr>
              <w:t>TPC Components –</w:t>
            </w:r>
            <w:r>
              <w:rPr>
                <w:b/>
                <w:bCs/>
              </w:rPr>
              <w:t xml:space="preserve"> High Voltage Feed-through</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r>
              <w:t>9</w:t>
            </w:r>
            <w:r w:rsidRPr="00DB65FB">
              <w:t>.</w:t>
            </w:r>
          </w:p>
        </w:tc>
        <w:tc>
          <w:tcPr>
            <w:tcW w:w="6408" w:type="dxa"/>
          </w:tcPr>
          <w:p w:rsidR="00E92CC9" w:rsidRPr="00C97131" w:rsidRDefault="00E92CC9" w:rsidP="00E92CC9">
            <w:pPr>
              <w:autoSpaceDE w:val="0"/>
              <w:autoSpaceDN w:val="0"/>
              <w:adjustRightInd w:val="0"/>
              <w:spacing w:after="0"/>
              <w:jc w:val="left"/>
              <w:rPr>
                <w:rFonts w:ascii="TimesNewRomanPSMT" w:hAnsi="TimesNewRomanPSMT" w:cs="TimesNewRomanPSMT"/>
              </w:rPr>
            </w:pPr>
            <w:r w:rsidRPr="00C828C5">
              <w:t xml:space="preserve">Prototypes must be tested extensively in pure, non-boiling </w:t>
            </w:r>
            <w:proofErr w:type="spellStart"/>
            <w:r w:rsidRPr="00C828C5">
              <w:t>LAr</w:t>
            </w:r>
            <w:proofErr w:type="spellEnd"/>
            <w:r w:rsidRPr="00C828C5">
              <w:t>. Rather than building new facilities (e.g., at Yale), consider using existing cryogenic HV testing facilities at Fermilab and/or CERN.</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r>
              <w:t>10</w:t>
            </w:r>
            <w:r w:rsidRPr="00DB65FB">
              <w:t>.</w:t>
            </w:r>
          </w:p>
        </w:tc>
        <w:tc>
          <w:tcPr>
            <w:tcW w:w="6408" w:type="dxa"/>
          </w:tcPr>
          <w:p w:rsidR="00E92CC9" w:rsidRPr="00C97131" w:rsidRDefault="00E92CC9" w:rsidP="00E92CC9">
            <w:pPr>
              <w:autoSpaceDE w:val="0"/>
              <w:autoSpaceDN w:val="0"/>
              <w:adjustRightInd w:val="0"/>
              <w:spacing w:after="0"/>
              <w:jc w:val="left"/>
              <w:rPr>
                <w:rFonts w:ascii="TimesNewRomanPSMT" w:hAnsi="TimesNewRomanPSMT" w:cs="TimesNewRomanPSMT"/>
              </w:rPr>
            </w:pPr>
            <w:r>
              <w:rPr>
                <w:rFonts w:ascii="TimesNewRomanPSMT" w:hAnsi="TimesNewRomanPSMT" w:cs="TimesNewRomanPSMT"/>
              </w:rPr>
              <w:t>A s</w:t>
            </w:r>
            <w:r w:rsidRPr="00E92CC9">
              <w:rPr>
                <w:rFonts w:ascii="TimesNewRomanPSMT" w:hAnsi="TimesNewRomanPSMT" w:cs="TimesNewRomanPSMT"/>
              </w:rPr>
              <w:t>ingle</w:t>
            </w:r>
            <w:r>
              <w:rPr>
                <w:rFonts w:ascii="TimesNewRomanPSMT" w:hAnsi="TimesNewRomanPSMT" w:cs="TimesNewRomanPSMT"/>
              </w:rPr>
              <w:t xml:space="preserve"> requirement for the electric field</w:t>
            </w:r>
            <w:r w:rsidRPr="00E92CC9">
              <w:rPr>
                <w:rFonts w:ascii="TimesNewRomanPSMT" w:hAnsi="TimesNewRomanPSMT" w:cs="TimesNewRomanPSMT"/>
              </w:rPr>
              <w:t xml:space="preserve"> should apply to all detector elements, including HV FT.</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D156AB" w:rsidRDefault="00E92CC9" w:rsidP="00E92CC9">
            <w:pPr>
              <w:autoSpaceDE w:val="0"/>
              <w:autoSpaceDN w:val="0"/>
              <w:adjustRightInd w:val="0"/>
              <w:spacing w:after="0"/>
              <w:jc w:val="left"/>
              <w:rPr>
                <w:rFonts w:ascii="TimesNewRomanPSMT" w:hAnsi="TimesNewRomanPSMT" w:cs="TimesNewRomanPSMT"/>
              </w:rPr>
            </w:pPr>
            <w:r>
              <w:rPr>
                <w:b/>
                <w:bCs/>
              </w:rPr>
              <w:t>TPC Components –</w:t>
            </w:r>
            <w:r>
              <w:rPr>
                <w:b/>
                <w:bCs/>
              </w:rPr>
              <w:t xml:space="preserve"> Field Cage</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r>
              <w:t>11.</w:t>
            </w:r>
          </w:p>
        </w:tc>
        <w:tc>
          <w:tcPr>
            <w:tcW w:w="6408" w:type="dxa"/>
          </w:tcPr>
          <w:p w:rsidR="00E92CC9" w:rsidRPr="00DB65FB" w:rsidRDefault="00E92CC9" w:rsidP="00E92CC9">
            <w:pPr>
              <w:spacing w:after="0"/>
            </w:pPr>
            <w:r w:rsidRPr="00E92CC9">
              <w:t xml:space="preserve">Pursue </w:t>
            </w:r>
            <w:r>
              <w:t xml:space="preserve">the </w:t>
            </w:r>
            <w:r w:rsidRPr="00E92CC9">
              <w:t>alternate design.  Make this baseline when appropriate</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r>
              <w:t>12</w:t>
            </w:r>
            <w:r w:rsidRPr="00DB65FB">
              <w:t>.</w:t>
            </w:r>
          </w:p>
        </w:tc>
        <w:tc>
          <w:tcPr>
            <w:tcW w:w="6408" w:type="dxa"/>
          </w:tcPr>
          <w:p w:rsidR="00E92CC9" w:rsidRPr="000E0D51"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 xml:space="preserve">Clearly prototyping studies are on the critical path. A back-up solution based on a more classical implementation of the field cage with electrodes made of metallic tube rings (as in </w:t>
            </w:r>
            <w:proofErr w:type="spellStart"/>
            <w:r w:rsidRPr="00E92CC9">
              <w:rPr>
                <w:rFonts w:ascii="TimesNewRomanPSMT" w:hAnsi="TimesNewRomanPSMT" w:cs="TimesNewRomanPSMT"/>
              </w:rPr>
              <w:t>MicroBooNE</w:t>
            </w:r>
            <w:proofErr w:type="spellEnd"/>
            <w:r w:rsidRPr="00E92CC9">
              <w:rPr>
                <w:rFonts w:ascii="TimesNewRomanPSMT" w:hAnsi="TimesNewRomanPSMT" w:cs="TimesNewRomanPSMT"/>
              </w:rPr>
              <w:t xml:space="preserve"> and ICARUS) should be kept available</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Default="00E92CC9" w:rsidP="00E92CC9">
            <w:pPr>
              <w:pStyle w:val="TOC1"/>
            </w:pPr>
            <w:r>
              <w:t>13.</w:t>
            </w:r>
          </w:p>
        </w:tc>
        <w:tc>
          <w:tcPr>
            <w:tcW w:w="6408" w:type="dxa"/>
          </w:tcPr>
          <w:p w:rsidR="00E92CC9"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Whichever field cage design is chosen, a method for entering the TPC interior should be required.</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Default="00E92CC9" w:rsidP="00E92CC9">
            <w:pPr>
              <w:pStyle w:val="TOC1"/>
            </w:pPr>
            <w:r>
              <w:t>14.</w:t>
            </w:r>
          </w:p>
        </w:tc>
        <w:tc>
          <w:tcPr>
            <w:tcW w:w="6408" w:type="dxa"/>
          </w:tcPr>
          <w:p w:rsidR="00E92CC9"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The motherboard/field-cage-bracket design interfaces should be carefully coordinated. The possibility of mechanical interferences should be eliminated, either by modifying bracket design, or by modifying motherboard design, or both.</w:t>
            </w:r>
          </w:p>
          <w:p w:rsidR="00E92CC9"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(This maybe should be a recommendation for interfaces between field cage and cold electronics).</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D156AB" w:rsidRDefault="00E92CC9" w:rsidP="00E92CC9">
            <w:pPr>
              <w:autoSpaceDE w:val="0"/>
              <w:autoSpaceDN w:val="0"/>
              <w:adjustRightInd w:val="0"/>
              <w:spacing w:after="0"/>
              <w:jc w:val="left"/>
              <w:rPr>
                <w:rFonts w:ascii="TimesNewRomanPSMT" w:hAnsi="TimesNewRomanPSMT" w:cs="TimesNewRomanPSMT"/>
              </w:rPr>
            </w:pPr>
            <w:r>
              <w:rPr>
                <w:b/>
                <w:bCs/>
              </w:rPr>
              <w:t>TPC Components –</w:t>
            </w:r>
            <w:r>
              <w:rPr>
                <w:b/>
                <w:bCs/>
              </w:rPr>
              <w:t xml:space="preserve"> APA Wire Winding</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r>
              <w:t>15</w:t>
            </w:r>
            <w:r w:rsidRPr="00DB65FB">
              <w:t>.</w:t>
            </w:r>
          </w:p>
        </w:tc>
        <w:tc>
          <w:tcPr>
            <w:tcW w:w="6408" w:type="dxa"/>
          </w:tcPr>
          <w:p w:rsidR="00E92CC9" w:rsidRPr="00C95899"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Develop tests and fixtures to qualify the precision of the wire placement for each facility.  The tests and fixtures should be common between the two facilities.</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Default="00E92CC9" w:rsidP="00E92CC9">
            <w:pPr>
              <w:pStyle w:val="TOC1"/>
            </w:pPr>
            <w:r>
              <w:t>16.</w:t>
            </w:r>
          </w:p>
        </w:tc>
        <w:tc>
          <w:tcPr>
            <w:tcW w:w="6408" w:type="dxa"/>
          </w:tcPr>
          <w:p w:rsidR="00E92CC9"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Develop apparatus for measuring the anode wire tension to be used at both wire placement facilities and for use as spot checking APAs as they arrive for TPC final assembly.</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Default="00E92CC9" w:rsidP="00E92CC9">
            <w:pPr>
              <w:pStyle w:val="TOC1"/>
            </w:pPr>
            <w:r>
              <w:lastRenderedPageBreak/>
              <w:t>17.</w:t>
            </w:r>
          </w:p>
        </w:tc>
        <w:tc>
          <w:tcPr>
            <w:tcW w:w="6408" w:type="dxa"/>
          </w:tcPr>
          <w:p w:rsidR="00E92CC9" w:rsidRDefault="00E92CC9" w:rsidP="00E92CC9">
            <w:pPr>
              <w:autoSpaceDE w:val="0"/>
              <w:autoSpaceDN w:val="0"/>
              <w:adjustRightInd w:val="0"/>
              <w:spacing w:after="0"/>
              <w:jc w:val="left"/>
              <w:rPr>
                <w:rFonts w:ascii="TimesNewRomanPSMT" w:hAnsi="TimesNewRomanPSMT" w:cs="TimesNewRomanPSMT"/>
              </w:rPr>
            </w:pPr>
            <w:r w:rsidRPr="00E92CC9">
              <w:rPr>
                <w:rFonts w:ascii="TimesNewRomanPSMT" w:hAnsi="TimesNewRomanPSMT" w:cs="TimesNewRomanPSMT"/>
              </w:rPr>
              <w:t>The timeline proposed by the collaboration for prototyping, construction and assembly of both the wiring tooling and the quality monitoring systems has to be strictly followed</w:t>
            </w:r>
            <w:r w:rsidR="000A5568">
              <w:rPr>
                <w:rFonts w:ascii="TimesNewRomanPSMT" w:hAnsi="TimesNewRomanPSMT" w:cs="TimesNewRomanPSMT"/>
              </w:rPr>
              <w:t xml:space="preserve"> – implement careful tracking of progress</w:t>
            </w:r>
            <w:r w:rsidRPr="00E92CC9">
              <w:rPr>
                <w:rFonts w:ascii="TimesNewRomanPSMT" w:hAnsi="TimesNewRomanPSMT" w:cs="TimesNewRomanPSMT"/>
              </w:rPr>
              <w:t>.</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Default="00E92CC9" w:rsidP="00E92CC9">
            <w:pPr>
              <w:pStyle w:val="TOC1"/>
            </w:pPr>
            <w:r>
              <w:t>18.</w:t>
            </w:r>
          </w:p>
        </w:tc>
        <w:tc>
          <w:tcPr>
            <w:tcW w:w="6408" w:type="dxa"/>
          </w:tcPr>
          <w:p w:rsidR="00E92CC9" w:rsidRDefault="000A5568" w:rsidP="00E92CC9">
            <w:pPr>
              <w:autoSpaceDE w:val="0"/>
              <w:autoSpaceDN w:val="0"/>
              <w:adjustRightInd w:val="0"/>
              <w:spacing w:after="0"/>
              <w:jc w:val="left"/>
              <w:rPr>
                <w:rFonts w:ascii="TimesNewRomanPSMT" w:hAnsi="TimesNewRomanPSMT" w:cs="TimesNewRomanPSMT"/>
              </w:rPr>
            </w:pPr>
            <w:r w:rsidRPr="000A5568">
              <w:rPr>
                <w:rFonts w:ascii="TimesNewRomanPSMT" w:hAnsi="TimesNewRomanPSMT" w:cs="TimesNewRomanPSMT"/>
              </w:rPr>
              <w:t>Tight quality assurance and quality control procedures should be put in place to avoid the minor overlaps and misalignments that may occur between adjacent geometry boards.</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53077F" w:rsidRDefault="000A5568" w:rsidP="00E92CC9">
            <w:pPr>
              <w:spacing w:after="0"/>
              <w:rPr>
                <w:b/>
              </w:rPr>
            </w:pPr>
            <w:r>
              <w:rPr>
                <w:b/>
              </w:rPr>
              <w:t>TPC Assembly &amp; Installation Process</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0A5568" w:rsidP="00E92CC9">
            <w:pPr>
              <w:pStyle w:val="TOC1"/>
            </w:pPr>
            <w:r>
              <w:t>12</w:t>
            </w:r>
            <w:r w:rsidR="00E92CC9">
              <w:t>.</w:t>
            </w:r>
          </w:p>
        </w:tc>
        <w:tc>
          <w:tcPr>
            <w:tcW w:w="6408" w:type="dxa"/>
          </w:tcPr>
          <w:p w:rsidR="00E92CC9" w:rsidRPr="0053077F" w:rsidRDefault="000A5568" w:rsidP="00E92CC9">
            <w:pPr>
              <w:autoSpaceDE w:val="0"/>
              <w:autoSpaceDN w:val="0"/>
              <w:adjustRightInd w:val="0"/>
              <w:spacing w:after="0"/>
              <w:jc w:val="left"/>
              <w:rPr>
                <w:rFonts w:ascii="TimesNewRomanPSMT" w:hAnsi="TimesNewRomanPSMT" w:cs="TimesNewRomanPSMT"/>
              </w:rPr>
            </w:pPr>
            <w:r w:rsidRPr="000A5568">
              <w:rPr>
                <w:rFonts w:ascii="TimesNewRomanPSMT" w:hAnsi="TimesNewRomanPSMT" w:cs="TimesNewRomanPSMT"/>
              </w:rPr>
              <w:t xml:space="preserve">The engineers should satisfy themselves that the diagonal tension members will not cause warping of the APA.  </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0A5568" w:rsidP="00E92CC9">
            <w:pPr>
              <w:pStyle w:val="TOC1"/>
            </w:pPr>
            <w:r>
              <w:t>13</w:t>
            </w:r>
            <w:r w:rsidR="00E92CC9">
              <w:t>.</w:t>
            </w:r>
          </w:p>
        </w:tc>
        <w:tc>
          <w:tcPr>
            <w:tcW w:w="6408" w:type="dxa"/>
          </w:tcPr>
          <w:p w:rsidR="00E92CC9" w:rsidRPr="0053077F" w:rsidRDefault="000A5568" w:rsidP="00E92CC9">
            <w:pPr>
              <w:autoSpaceDE w:val="0"/>
              <w:autoSpaceDN w:val="0"/>
              <w:adjustRightInd w:val="0"/>
              <w:spacing w:after="0"/>
              <w:jc w:val="left"/>
              <w:rPr>
                <w:rFonts w:ascii="TimesNewRomanPSMT" w:hAnsi="TimesNewRomanPSMT" w:cs="TimesNewRomanPSMT"/>
              </w:rPr>
            </w:pPr>
            <w:r w:rsidRPr="000A5568">
              <w:rPr>
                <w:rFonts w:ascii="TimesNewRomanPSMT" w:hAnsi="TimesNewRomanPSMT" w:cs="TimesNewRomanPSMT"/>
              </w:rPr>
              <w:t>Schedule meetings with alignment/metrology group to identify areas where their input may help inform procedures.</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0A5568" w:rsidRPr="00B455F8" w:rsidTr="0050688F">
        <w:trPr>
          <w:cantSplit/>
          <w:jc w:val="center"/>
        </w:trPr>
        <w:tc>
          <w:tcPr>
            <w:tcW w:w="720" w:type="dxa"/>
          </w:tcPr>
          <w:p w:rsidR="000A5568" w:rsidRDefault="000A5568" w:rsidP="00E92CC9">
            <w:pPr>
              <w:pStyle w:val="TOC1"/>
            </w:pPr>
            <w:r>
              <w:t>14.</w:t>
            </w:r>
          </w:p>
        </w:tc>
        <w:tc>
          <w:tcPr>
            <w:tcW w:w="6408" w:type="dxa"/>
          </w:tcPr>
          <w:p w:rsidR="000A5568" w:rsidRPr="0053077F" w:rsidRDefault="000A5568" w:rsidP="00E92CC9">
            <w:pPr>
              <w:autoSpaceDE w:val="0"/>
              <w:autoSpaceDN w:val="0"/>
              <w:adjustRightInd w:val="0"/>
              <w:spacing w:after="0"/>
              <w:jc w:val="left"/>
              <w:rPr>
                <w:rFonts w:ascii="TimesNewRomanPSMT" w:hAnsi="TimesNewRomanPSMT" w:cs="TimesNewRomanPSMT"/>
              </w:rPr>
            </w:pPr>
            <w:r w:rsidRPr="000A5568">
              <w:rPr>
                <w:rFonts w:ascii="TimesNewRomanPSMT" w:hAnsi="TimesNewRomanPSMT" w:cs="TimesNewRomanPSMT"/>
              </w:rPr>
              <w:t>Plan to perform full sized tests of assembly steps, ideally in the space to be used for the final assembly.  This may require development of mock ups of various components.</w:t>
            </w:r>
          </w:p>
        </w:tc>
        <w:tc>
          <w:tcPr>
            <w:tcW w:w="1620" w:type="dxa"/>
          </w:tcPr>
          <w:p w:rsidR="000A5568" w:rsidRPr="00DB65FB" w:rsidRDefault="000A5568" w:rsidP="00E92CC9">
            <w:pPr>
              <w:pStyle w:val="TOC1"/>
            </w:pPr>
          </w:p>
        </w:tc>
        <w:tc>
          <w:tcPr>
            <w:tcW w:w="3690" w:type="dxa"/>
          </w:tcPr>
          <w:p w:rsidR="000A5568" w:rsidRPr="00DB65FB" w:rsidRDefault="000A5568" w:rsidP="00E92CC9">
            <w:pPr>
              <w:pStyle w:val="TOC1"/>
            </w:pPr>
          </w:p>
        </w:tc>
        <w:tc>
          <w:tcPr>
            <w:tcW w:w="1620" w:type="dxa"/>
          </w:tcPr>
          <w:p w:rsidR="000A5568" w:rsidRPr="00DB65FB" w:rsidRDefault="000A5568" w:rsidP="00E92CC9">
            <w:pPr>
              <w:pStyle w:val="TOC1"/>
            </w:pPr>
          </w:p>
        </w:tc>
      </w:tr>
      <w:tr w:rsidR="000A5568" w:rsidRPr="00B455F8" w:rsidTr="0050688F">
        <w:trPr>
          <w:cantSplit/>
          <w:jc w:val="center"/>
        </w:trPr>
        <w:tc>
          <w:tcPr>
            <w:tcW w:w="720" w:type="dxa"/>
          </w:tcPr>
          <w:p w:rsidR="000A5568" w:rsidRDefault="000A5568" w:rsidP="00E92CC9">
            <w:pPr>
              <w:pStyle w:val="TOC1"/>
            </w:pPr>
            <w:r>
              <w:t>15.</w:t>
            </w:r>
          </w:p>
        </w:tc>
        <w:tc>
          <w:tcPr>
            <w:tcW w:w="6408" w:type="dxa"/>
          </w:tcPr>
          <w:p w:rsidR="000A5568" w:rsidRPr="0053077F" w:rsidRDefault="000A5568" w:rsidP="00E92CC9">
            <w:pPr>
              <w:autoSpaceDE w:val="0"/>
              <w:autoSpaceDN w:val="0"/>
              <w:adjustRightInd w:val="0"/>
              <w:spacing w:after="0"/>
              <w:jc w:val="left"/>
              <w:rPr>
                <w:rFonts w:ascii="TimesNewRomanPSMT" w:hAnsi="TimesNewRomanPSMT" w:cs="TimesNewRomanPSMT"/>
              </w:rPr>
            </w:pPr>
            <w:r w:rsidRPr="000A5568">
              <w:rPr>
                <w:rFonts w:ascii="TimesNewRomanPSMT" w:hAnsi="TimesNewRomanPSMT" w:cs="TimesNewRomanPSMT"/>
              </w:rPr>
              <w:t>Develop inspection/qualification plans/tests for components before they are assembled into the TPC.  Similar tests of the electronics and final cabling should be included prior to the TPC installation into the cryostat.</w:t>
            </w:r>
          </w:p>
        </w:tc>
        <w:tc>
          <w:tcPr>
            <w:tcW w:w="1620" w:type="dxa"/>
          </w:tcPr>
          <w:p w:rsidR="000A5568" w:rsidRPr="00DB65FB" w:rsidRDefault="000A5568" w:rsidP="00E92CC9">
            <w:pPr>
              <w:pStyle w:val="TOC1"/>
            </w:pPr>
          </w:p>
        </w:tc>
        <w:tc>
          <w:tcPr>
            <w:tcW w:w="3690" w:type="dxa"/>
          </w:tcPr>
          <w:p w:rsidR="000A5568" w:rsidRPr="00DB65FB" w:rsidRDefault="000A5568" w:rsidP="00E92CC9">
            <w:pPr>
              <w:pStyle w:val="TOC1"/>
            </w:pPr>
          </w:p>
        </w:tc>
        <w:tc>
          <w:tcPr>
            <w:tcW w:w="1620" w:type="dxa"/>
          </w:tcPr>
          <w:p w:rsidR="000A5568" w:rsidRPr="00DB65FB" w:rsidRDefault="000A5568" w:rsidP="00E92CC9">
            <w:pPr>
              <w:pStyle w:val="TOC1"/>
            </w:pPr>
          </w:p>
        </w:tc>
      </w:tr>
      <w:tr w:rsidR="000A5568" w:rsidRPr="00B455F8" w:rsidTr="0050688F">
        <w:trPr>
          <w:cantSplit/>
          <w:jc w:val="center"/>
        </w:trPr>
        <w:tc>
          <w:tcPr>
            <w:tcW w:w="720" w:type="dxa"/>
          </w:tcPr>
          <w:p w:rsidR="000A5568" w:rsidRDefault="000A5568" w:rsidP="00E92CC9">
            <w:pPr>
              <w:pStyle w:val="TOC1"/>
            </w:pPr>
            <w:r>
              <w:t>16.</w:t>
            </w:r>
          </w:p>
        </w:tc>
        <w:tc>
          <w:tcPr>
            <w:tcW w:w="6408" w:type="dxa"/>
          </w:tcPr>
          <w:p w:rsidR="000A5568" w:rsidRPr="0053077F" w:rsidRDefault="000A5568" w:rsidP="00E92CC9">
            <w:pPr>
              <w:autoSpaceDE w:val="0"/>
              <w:autoSpaceDN w:val="0"/>
              <w:adjustRightInd w:val="0"/>
              <w:spacing w:after="0"/>
              <w:jc w:val="left"/>
              <w:rPr>
                <w:rFonts w:ascii="TimesNewRomanPSMT" w:hAnsi="TimesNewRomanPSMT" w:cs="TimesNewRomanPSMT"/>
              </w:rPr>
            </w:pPr>
            <w:r w:rsidRPr="000A5568">
              <w:rPr>
                <w:rFonts w:ascii="TimesNewRomanPSMT" w:hAnsi="TimesNewRomanPSMT" w:cs="TimesNewRomanPSMT"/>
              </w:rPr>
              <w:t>Develop plans for attaching the cryostat top outside of the D-Zero Assembly building.</w:t>
            </w:r>
          </w:p>
        </w:tc>
        <w:tc>
          <w:tcPr>
            <w:tcW w:w="1620" w:type="dxa"/>
          </w:tcPr>
          <w:p w:rsidR="000A5568" w:rsidRPr="00DB65FB" w:rsidRDefault="000A5568" w:rsidP="00E92CC9">
            <w:pPr>
              <w:pStyle w:val="TOC1"/>
            </w:pPr>
          </w:p>
        </w:tc>
        <w:tc>
          <w:tcPr>
            <w:tcW w:w="3690" w:type="dxa"/>
          </w:tcPr>
          <w:p w:rsidR="000A5568" w:rsidRPr="00DB65FB" w:rsidRDefault="000A5568" w:rsidP="00E92CC9">
            <w:pPr>
              <w:pStyle w:val="TOC1"/>
            </w:pPr>
          </w:p>
        </w:tc>
        <w:tc>
          <w:tcPr>
            <w:tcW w:w="1620" w:type="dxa"/>
          </w:tcPr>
          <w:p w:rsidR="000A5568" w:rsidRPr="00DB65FB" w:rsidRDefault="000A5568"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592345" w:rsidRDefault="00CE6277" w:rsidP="00E92CC9">
            <w:pPr>
              <w:spacing w:after="0"/>
              <w:rPr>
                <w:b/>
              </w:rPr>
            </w:pPr>
            <w:r>
              <w:rPr>
                <w:b/>
              </w:rPr>
              <w:t>TPC Installation &amp; Integration</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CE6277" w:rsidP="00E92CC9">
            <w:pPr>
              <w:pStyle w:val="TOC1"/>
            </w:pPr>
            <w:r>
              <w:t>17</w:t>
            </w:r>
            <w:r w:rsidR="00E92CC9">
              <w:t>.</w:t>
            </w:r>
          </w:p>
        </w:tc>
        <w:tc>
          <w:tcPr>
            <w:tcW w:w="6408" w:type="dxa"/>
          </w:tcPr>
          <w:p w:rsidR="00E92CC9" w:rsidRDefault="00CE6277" w:rsidP="00E92CC9">
            <w:pPr>
              <w:autoSpaceDE w:val="0"/>
              <w:autoSpaceDN w:val="0"/>
              <w:adjustRightInd w:val="0"/>
              <w:spacing w:after="0"/>
              <w:jc w:val="left"/>
              <w:rPr>
                <w:rFonts w:ascii="TimesNewRomanPSMT" w:hAnsi="TimesNewRomanPSMT" w:cs="TimesNewRomanPSMT"/>
              </w:rPr>
            </w:pPr>
            <w:r w:rsidRPr="00CE6277">
              <w:rPr>
                <w:rFonts w:ascii="TimesNewRomanPSMT" w:hAnsi="TimesNewRomanPSMT" w:cs="TimesNewRomanPSMT"/>
              </w:rPr>
              <w:t>Review the process of transferring the TPC from being supported directly by the transport frame to being supported by the cryostat lid.  Make sure the two sets of supports don’t interfere with each other and that no part of the TPC is ever unsupported.</w:t>
            </w:r>
          </w:p>
          <w:p w:rsidR="007B5B40" w:rsidRPr="00592345" w:rsidRDefault="007B5B40" w:rsidP="00E92CC9">
            <w:pPr>
              <w:autoSpaceDE w:val="0"/>
              <w:autoSpaceDN w:val="0"/>
              <w:adjustRightInd w:val="0"/>
              <w:spacing w:after="0"/>
              <w:jc w:val="left"/>
              <w:rPr>
                <w:rFonts w:ascii="TimesNewRomanPSMT" w:hAnsi="TimesNewRomanPSMT" w:cs="TimesNewRomanPSMT"/>
              </w:rPr>
            </w:pP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CE6277" w:rsidP="00E92CC9">
            <w:pPr>
              <w:pStyle w:val="TOC1"/>
            </w:pPr>
            <w:r>
              <w:t>18</w:t>
            </w:r>
            <w:r w:rsidR="00E92CC9">
              <w:t>.</w:t>
            </w:r>
          </w:p>
        </w:tc>
        <w:tc>
          <w:tcPr>
            <w:tcW w:w="6408" w:type="dxa"/>
          </w:tcPr>
          <w:p w:rsidR="00E92CC9" w:rsidRDefault="00CE6277" w:rsidP="00E92CC9">
            <w:pPr>
              <w:spacing w:after="0"/>
            </w:pPr>
            <w:r w:rsidRPr="00CE6277">
              <w:t>Determine how the TPC will be brought from the assembly building to the detector building and then unloaded and installed while maintaining adequate cleanliness.</w:t>
            </w:r>
          </w:p>
          <w:p w:rsidR="007B5B40" w:rsidRPr="00DB65FB" w:rsidRDefault="007B5B40" w:rsidP="00E92CC9">
            <w:pPr>
              <w:spacing w:after="0"/>
            </w:pP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CE6277" w:rsidRPr="00B455F8" w:rsidTr="0050688F">
        <w:trPr>
          <w:cantSplit/>
          <w:jc w:val="center"/>
        </w:trPr>
        <w:tc>
          <w:tcPr>
            <w:tcW w:w="720" w:type="dxa"/>
          </w:tcPr>
          <w:p w:rsidR="00CE6277" w:rsidRDefault="00CE6277" w:rsidP="00E92CC9">
            <w:pPr>
              <w:pStyle w:val="TOC1"/>
            </w:pPr>
            <w:r>
              <w:t>19.</w:t>
            </w:r>
          </w:p>
        </w:tc>
        <w:tc>
          <w:tcPr>
            <w:tcW w:w="6408" w:type="dxa"/>
          </w:tcPr>
          <w:p w:rsidR="00CE6277" w:rsidRDefault="00CE6277" w:rsidP="00E92CC9">
            <w:pPr>
              <w:spacing w:after="0"/>
            </w:pPr>
            <w:r w:rsidRPr="00CE6277">
              <w:t>Check the process of removing the TPC from the transport frame at the detector building to make sure that it can be done with a single crane (or that a second is available if needed).</w:t>
            </w:r>
          </w:p>
          <w:p w:rsidR="007B5B40" w:rsidRPr="00DB65FB" w:rsidRDefault="007B5B40" w:rsidP="00E92CC9">
            <w:pPr>
              <w:spacing w:after="0"/>
            </w:pPr>
          </w:p>
        </w:tc>
        <w:tc>
          <w:tcPr>
            <w:tcW w:w="1620" w:type="dxa"/>
          </w:tcPr>
          <w:p w:rsidR="00CE6277" w:rsidRPr="00DB65FB" w:rsidRDefault="00CE6277" w:rsidP="00E92CC9">
            <w:pPr>
              <w:pStyle w:val="TOC1"/>
            </w:pPr>
          </w:p>
        </w:tc>
        <w:tc>
          <w:tcPr>
            <w:tcW w:w="3690" w:type="dxa"/>
          </w:tcPr>
          <w:p w:rsidR="00CE6277" w:rsidRPr="00DB65FB" w:rsidRDefault="00CE6277" w:rsidP="00E92CC9">
            <w:pPr>
              <w:pStyle w:val="TOC1"/>
            </w:pPr>
          </w:p>
        </w:tc>
        <w:tc>
          <w:tcPr>
            <w:tcW w:w="1620" w:type="dxa"/>
          </w:tcPr>
          <w:p w:rsidR="00CE6277" w:rsidRPr="00DB65FB" w:rsidRDefault="00CE6277" w:rsidP="00E92CC9">
            <w:pPr>
              <w:pStyle w:val="TOC1"/>
            </w:pPr>
          </w:p>
        </w:tc>
      </w:tr>
      <w:tr w:rsidR="00CE6277" w:rsidRPr="00B455F8" w:rsidTr="0050688F">
        <w:trPr>
          <w:cantSplit/>
          <w:jc w:val="center"/>
        </w:trPr>
        <w:tc>
          <w:tcPr>
            <w:tcW w:w="720" w:type="dxa"/>
          </w:tcPr>
          <w:p w:rsidR="00CE6277" w:rsidRDefault="00CE6277" w:rsidP="00E92CC9">
            <w:pPr>
              <w:pStyle w:val="TOC1"/>
            </w:pPr>
            <w:r>
              <w:t>20.</w:t>
            </w:r>
          </w:p>
        </w:tc>
        <w:tc>
          <w:tcPr>
            <w:tcW w:w="6408" w:type="dxa"/>
          </w:tcPr>
          <w:p w:rsidR="00CE6277" w:rsidRDefault="00CE6277" w:rsidP="00E92CC9">
            <w:pPr>
              <w:spacing w:after="0"/>
            </w:pPr>
            <w:r w:rsidRPr="00CE6277">
              <w:t>Careful communication between light detection system and TPC is encouraged, particularly in final design stages for LDS, where interfaces for installation and assembly will be critical.</w:t>
            </w:r>
          </w:p>
          <w:p w:rsidR="007B5B40" w:rsidRPr="00DB65FB" w:rsidRDefault="007B5B40" w:rsidP="00E92CC9">
            <w:pPr>
              <w:spacing w:after="0"/>
            </w:pPr>
          </w:p>
        </w:tc>
        <w:tc>
          <w:tcPr>
            <w:tcW w:w="1620" w:type="dxa"/>
          </w:tcPr>
          <w:p w:rsidR="00CE6277" w:rsidRPr="00DB65FB" w:rsidRDefault="00CE6277" w:rsidP="00E92CC9">
            <w:pPr>
              <w:pStyle w:val="TOC1"/>
            </w:pPr>
          </w:p>
        </w:tc>
        <w:tc>
          <w:tcPr>
            <w:tcW w:w="3690" w:type="dxa"/>
          </w:tcPr>
          <w:p w:rsidR="00CE6277" w:rsidRPr="00DB65FB" w:rsidRDefault="00CE6277" w:rsidP="00E92CC9">
            <w:pPr>
              <w:pStyle w:val="TOC1"/>
            </w:pPr>
          </w:p>
        </w:tc>
        <w:tc>
          <w:tcPr>
            <w:tcW w:w="1620" w:type="dxa"/>
          </w:tcPr>
          <w:p w:rsidR="00CE6277" w:rsidRPr="00DB65FB" w:rsidRDefault="00CE6277" w:rsidP="00E92CC9">
            <w:pPr>
              <w:pStyle w:val="TOC1"/>
            </w:pPr>
          </w:p>
        </w:tc>
      </w:tr>
      <w:tr w:rsidR="00CE6277" w:rsidRPr="00B455F8" w:rsidTr="0050688F">
        <w:trPr>
          <w:cantSplit/>
          <w:jc w:val="center"/>
        </w:trPr>
        <w:tc>
          <w:tcPr>
            <w:tcW w:w="720" w:type="dxa"/>
          </w:tcPr>
          <w:p w:rsidR="00CE6277" w:rsidRDefault="00CE6277" w:rsidP="00E92CC9">
            <w:pPr>
              <w:pStyle w:val="TOC1"/>
            </w:pPr>
            <w:r>
              <w:t>21.</w:t>
            </w:r>
          </w:p>
        </w:tc>
        <w:tc>
          <w:tcPr>
            <w:tcW w:w="6408" w:type="dxa"/>
          </w:tcPr>
          <w:p w:rsidR="00CE6277" w:rsidRDefault="00CE6277" w:rsidP="00E92CC9">
            <w:pPr>
              <w:spacing w:after="0"/>
            </w:pPr>
            <w:r w:rsidRPr="00CE6277">
              <w:t>Set up meetings with FNAL survey/alignment group to identify which parts of detector will need as-found survey vs. alignment help during assembly and installation.</w:t>
            </w:r>
          </w:p>
          <w:p w:rsidR="007B5B40" w:rsidRPr="00DB65FB" w:rsidRDefault="007B5B40" w:rsidP="00E92CC9">
            <w:pPr>
              <w:spacing w:after="0"/>
            </w:pPr>
          </w:p>
        </w:tc>
        <w:tc>
          <w:tcPr>
            <w:tcW w:w="1620" w:type="dxa"/>
          </w:tcPr>
          <w:p w:rsidR="00CE6277" w:rsidRPr="00DB65FB" w:rsidRDefault="00CE6277" w:rsidP="00E92CC9">
            <w:pPr>
              <w:pStyle w:val="TOC1"/>
            </w:pPr>
          </w:p>
        </w:tc>
        <w:tc>
          <w:tcPr>
            <w:tcW w:w="3690" w:type="dxa"/>
          </w:tcPr>
          <w:p w:rsidR="00CE6277" w:rsidRPr="00DB65FB" w:rsidRDefault="00CE6277" w:rsidP="00E92CC9">
            <w:pPr>
              <w:pStyle w:val="TOC1"/>
            </w:pPr>
          </w:p>
        </w:tc>
        <w:tc>
          <w:tcPr>
            <w:tcW w:w="1620" w:type="dxa"/>
          </w:tcPr>
          <w:p w:rsidR="00CE6277" w:rsidRPr="00DB65FB" w:rsidRDefault="00CE6277"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390824" w:rsidRDefault="007B5B40" w:rsidP="00E92CC9">
            <w:pPr>
              <w:spacing w:after="0"/>
              <w:rPr>
                <w:b/>
              </w:rPr>
            </w:pPr>
            <w:r>
              <w:rPr>
                <w:b/>
              </w:rPr>
              <w:t>Electronics &amp; Readout – Cold Electronics</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7B5B40" w:rsidP="00E92CC9">
            <w:pPr>
              <w:pStyle w:val="TOC1"/>
            </w:pPr>
            <w:r>
              <w:t>22</w:t>
            </w:r>
            <w:r w:rsidR="00E92CC9">
              <w:t>.</w:t>
            </w:r>
          </w:p>
        </w:tc>
        <w:tc>
          <w:tcPr>
            <w:tcW w:w="6408" w:type="dxa"/>
          </w:tcPr>
          <w:p w:rsidR="00E92CC9" w:rsidRPr="00390824" w:rsidRDefault="007B5B40" w:rsidP="00E92CC9">
            <w:pPr>
              <w:autoSpaceDE w:val="0"/>
              <w:autoSpaceDN w:val="0"/>
              <w:adjustRightInd w:val="0"/>
              <w:spacing w:after="0"/>
              <w:jc w:val="left"/>
              <w:rPr>
                <w:rFonts w:ascii="TimesNewRomanPSMT" w:hAnsi="TimesNewRomanPSMT" w:cs="TimesNewRomanPSMT"/>
              </w:rPr>
            </w:pPr>
            <w:r w:rsidRPr="007B5B40">
              <w:rPr>
                <w:rFonts w:ascii="TimesNewRomanPSMT" w:hAnsi="TimesNewRomanPSMT" w:cs="TimesNewRomanPSMT"/>
              </w:rPr>
              <w:t xml:space="preserve">The main argument to adopt double flanges seems to be the issue of argon gas purity possibly impaired by a less than </w:t>
            </w:r>
            <w:proofErr w:type="gramStart"/>
            <w:r w:rsidRPr="007B5B40">
              <w:rPr>
                <w:rFonts w:ascii="TimesNewRomanPSMT" w:hAnsi="TimesNewRomanPSMT" w:cs="TimesNewRomanPSMT"/>
              </w:rPr>
              <w:t>one meter</w:t>
            </w:r>
            <w:proofErr w:type="gramEnd"/>
            <w:r w:rsidRPr="007B5B40">
              <w:rPr>
                <w:rFonts w:ascii="TimesNewRomanPSMT" w:hAnsi="TimesNewRomanPSMT" w:cs="TimesNewRomanPSMT"/>
              </w:rPr>
              <w:t xml:space="preserve"> length cables. Anyway the SBND has in argon gas phase a sizable amount of components that could be a source of pollution that will require recirculation in any case, in accordance with the results </w:t>
            </w:r>
            <w:proofErr w:type="spellStart"/>
            <w:r w:rsidRPr="007B5B40">
              <w:rPr>
                <w:rFonts w:ascii="TimesNewRomanPSMT" w:hAnsi="TimesNewRomanPSMT" w:cs="TimesNewRomanPSMT"/>
              </w:rPr>
              <w:t>form</w:t>
            </w:r>
            <w:proofErr w:type="spellEnd"/>
            <w:r w:rsidRPr="007B5B40">
              <w:rPr>
                <w:rFonts w:ascii="TimesNewRomanPSMT" w:hAnsi="TimesNewRomanPSMT" w:cs="TimesNewRomanPSMT"/>
              </w:rPr>
              <w:t xml:space="preserve"> other liquid argon TPC. In this perspective double flanges look as an overhead that could be a source of extra problems rather than a solution. The statement that double flange would relax tightness requirements ignores the back-diffusion effect that will allow oxyge</w:t>
            </w:r>
            <w:r w:rsidR="00A348E2">
              <w:rPr>
                <w:rFonts w:ascii="TimesNewRomanPSMT" w:hAnsi="TimesNewRomanPSMT" w:cs="TimesNewRomanPSMT"/>
              </w:rPr>
              <w:t>n contamination, even if reduced</w:t>
            </w:r>
            <w:r w:rsidRPr="007B5B40">
              <w:rPr>
                <w:rFonts w:ascii="TimesNewRomanPSMT" w:hAnsi="TimesNewRomanPSMT" w:cs="TimesNewRomanPSMT"/>
              </w:rPr>
              <w:t>, that will limit electron lifetime. Not to mention the increased costs and number of connections that will be at least doubled.</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7B5B40" w:rsidP="00E92CC9">
            <w:pPr>
              <w:pStyle w:val="TOC1"/>
            </w:pPr>
            <w:r>
              <w:t>23</w:t>
            </w:r>
            <w:r w:rsidR="00E92CC9">
              <w:t>.</w:t>
            </w:r>
          </w:p>
        </w:tc>
        <w:tc>
          <w:tcPr>
            <w:tcW w:w="6408" w:type="dxa"/>
          </w:tcPr>
          <w:p w:rsidR="00E92CC9" w:rsidRPr="00390824" w:rsidRDefault="007B5B40" w:rsidP="00A348E2">
            <w:pPr>
              <w:autoSpaceDE w:val="0"/>
              <w:autoSpaceDN w:val="0"/>
              <w:adjustRightInd w:val="0"/>
              <w:spacing w:after="0"/>
              <w:jc w:val="left"/>
              <w:rPr>
                <w:rFonts w:ascii="TimesNewRomanPSMT" w:hAnsi="TimesNewRomanPSMT" w:cs="TimesNewRomanPSMT"/>
              </w:rPr>
            </w:pPr>
            <w:r w:rsidRPr="007B5B40">
              <w:rPr>
                <w:rFonts w:ascii="TimesNewRomanPSMT" w:hAnsi="TimesNewRomanPSMT" w:cs="TimesNewRomanPSMT"/>
              </w:rPr>
              <w:t xml:space="preserve">In </w:t>
            </w:r>
            <w:proofErr w:type="gramStart"/>
            <w:r w:rsidRPr="007B5B40">
              <w:rPr>
                <w:rFonts w:ascii="TimesNewRomanPSMT" w:hAnsi="TimesNewRomanPSMT" w:cs="TimesNewRomanPSMT"/>
              </w:rPr>
              <w:t>general</w:t>
            </w:r>
            <w:proofErr w:type="gramEnd"/>
            <w:r w:rsidRPr="007B5B40">
              <w:rPr>
                <w:rFonts w:ascii="TimesNewRomanPSMT" w:hAnsi="TimesNewRomanPSMT" w:cs="TimesNewRomanPSMT"/>
              </w:rPr>
              <w:t xml:space="preserve"> the mechanics of the cold electronics (connectors, mezzanine boards, piggy-back etc.) looks rather complex and the number of connections are a potential cause of failures.</w:t>
            </w:r>
            <w:r w:rsidR="00A348E2">
              <w:rPr>
                <w:rFonts w:ascii="TimesNewRomanPSMT" w:hAnsi="TimesNewRomanPSMT" w:cs="TimesNewRomanPSMT"/>
              </w:rPr>
              <w:t xml:space="preserve"> </w:t>
            </w:r>
            <w:r w:rsidR="00A348E2" w:rsidRPr="007B5B40">
              <w:rPr>
                <w:rFonts w:ascii="TimesNewRomanPSMT" w:hAnsi="TimesNewRomanPSMT" w:cs="TimesNewRomanPSMT"/>
              </w:rPr>
              <w:t>(see also the previous recommendation)</w:t>
            </w:r>
            <w:r w:rsidR="00A348E2">
              <w:rPr>
                <w:rFonts w:ascii="TimesNewRomanPSMT" w:hAnsi="TimesNewRomanPSMT" w:cs="TimesNewRomanPSMT"/>
              </w:rPr>
              <w:t xml:space="preserve">. </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7B5B40" w:rsidP="00E92CC9">
            <w:pPr>
              <w:pStyle w:val="TOC1"/>
            </w:pPr>
            <w:r>
              <w:t>24</w:t>
            </w:r>
            <w:r w:rsidR="00E92CC9">
              <w:t>.</w:t>
            </w:r>
          </w:p>
        </w:tc>
        <w:tc>
          <w:tcPr>
            <w:tcW w:w="6408" w:type="dxa"/>
          </w:tcPr>
          <w:p w:rsidR="00E92CC9" w:rsidRDefault="00A348E2" w:rsidP="00E92CC9">
            <w:pPr>
              <w:autoSpaceDE w:val="0"/>
              <w:autoSpaceDN w:val="0"/>
              <w:adjustRightInd w:val="0"/>
              <w:spacing w:after="0"/>
              <w:jc w:val="left"/>
              <w:rPr>
                <w:rFonts w:ascii="TimesNewRomanPSMT" w:hAnsi="TimesNewRomanPSMT" w:cs="TimesNewRomanPSMT"/>
              </w:rPr>
            </w:pPr>
            <w:r w:rsidRPr="00A348E2">
              <w:rPr>
                <w:rFonts w:ascii="TimesNewRomanPSMT" w:hAnsi="TimesNewRomanPSMT" w:cs="TimesNewRomanPSMT"/>
              </w:rPr>
              <w:t>A plan for board revision should be developed including additional boards from early revisions for testing by the data acquisition and slow monitoring groups.</w:t>
            </w:r>
          </w:p>
          <w:p w:rsidR="00A348E2" w:rsidRPr="00390824" w:rsidRDefault="00A348E2" w:rsidP="00E92CC9">
            <w:pPr>
              <w:autoSpaceDE w:val="0"/>
              <w:autoSpaceDN w:val="0"/>
              <w:adjustRightInd w:val="0"/>
              <w:spacing w:after="0"/>
              <w:jc w:val="left"/>
              <w:rPr>
                <w:rFonts w:ascii="TimesNewRomanPSMT" w:hAnsi="TimesNewRomanPSMT" w:cs="TimesNewRomanPSMT"/>
              </w:rPr>
            </w:pPr>
            <w:r>
              <w:rPr>
                <w:rFonts w:ascii="TimesNewRomanPSMT" w:hAnsi="TimesNewRomanPSMT" w:cs="TimesNewRomanPSMT"/>
              </w:rPr>
              <w:t>Action?</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7B5B40" w:rsidP="00E92CC9">
            <w:pPr>
              <w:pStyle w:val="TOC1"/>
            </w:pPr>
            <w:r>
              <w:t>25</w:t>
            </w:r>
            <w:r w:rsidR="00E92CC9">
              <w:t>.</w:t>
            </w:r>
          </w:p>
        </w:tc>
        <w:tc>
          <w:tcPr>
            <w:tcW w:w="6408" w:type="dxa"/>
          </w:tcPr>
          <w:p w:rsidR="00E92CC9" w:rsidRPr="00390824" w:rsidRDefault="00A348E2" w:rsidP="00E92CC9">
            <w:pPr>
              <w:autoSpaceDE w:val="0"/>
              <w:autoSpaceDN w:val="0"/>
              <w:adjustRightInd w:val="0"/>
              <w:spacing w:after="0"/>
              <w:jc w:val="left"/>
              <w:rPr>
                <w:rFonts w:ascii="TimesNewRomanPSMT" w:hAnsi="TimesNewRomanPSMT" w:cs="TimesNewRomanPSMT"/>
              </w:rPr>
            </w:pPr>
            <w:r w:rsidRPr="00A348E2">
              <w:rPr>
                <w:rFonts w:ascii="TimesNewRomanPSMT" w:hAnsi="TimesNewRomanPSMT" w:cs="TimesNewRomanPSMT"/>
              </w:rPr>
              <w:t>Bring the plans for testing and qualification of all circuit boards to the same level.</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E92CC9" w:rsidP="00E92CC9">
            <w:pPr>
              <w:pStyle w:val="TOC1"/>
            </w:pPr>
          </w:p>
        </w:tc>
        <w:tc>
          <w:tcPr>
            <w:tcW w:w="6408" w:type="dxa"/>
          </w:tcPr>
          <w:p w:rsidR="00E92CC9" w:rsidRPr="00CD7B84" w:rsidRDefault="00A348E2" w:rsidP="00E92CC9">
            <w:pPr>
              <w:spacing w:after="0"/>
              <w:rPr>
                <w:b/>
              </w:rPr>
            </w:pPr>
            <w:r>
              <w:rPr>
                <w:b/>
              </w:rPr>
              <w:t>Electronics &amp; Readout –</w:t>
            </w:r>
            <w:r>
              <w:rPr>
                <w:b/>
              </w:rPr>
              <w:t xml:space="preserve"> Warm</w:t>
            </w:r>
            <w:r>
              <w:rPr>
                <w:b/>
              </w:rPr>
              <w:t xml:space="preserve"> Electronics</w:t>
            </w:r>
            <w:r>
              <w:rPr>
                <w:b/>
              </w:rPr>
              <w:t xml:space="preserve"> &amp; Trigger</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E92CC9" w:rsidRPr="00B455F8" w:rsidTr="0050688F">
        <w:trPr>
          <w:cantSplit/>
          <w:jc w:val="center"/>
        </w:trPr>
        <w:tc>
          <w:tcPr>
            <w:tcW w:w="720" w:type="dxa"/>
          </w:tcPr>
          <w:p w:rsidR="00E92CC9" w:rsidRPr="00DB65FB" w:rsidRDefault="00A348E2" w:rsidP="00E92CC9">
            <w:pPr>
              <w:pStyle w:val="TOC1"/>
            </w:pPr>
            <w:r>
              <w:t>26</w:t>
            </w:r>
            <w:r w:rsidR="00E92CC9">
              <w:t>.</w:t>
            </w:r>
          </w:p>
        </w:tc>
        <w:tc>
          <w:tcPr>
            <w:tcW w:w="6408" w:type="dxa"/>
          </w:tcPr>
          <w:p w:rsidR="00E92CC9" w:rsidRPr="00CD7B84" w:rsidRDefault="00EA0329" w:rsidP="00E92CC9">
            <w:pPr>
              <w:autoSpaceDE w:val="0"/>
              <w:autoSpaceDN w:val="0"/>
              <w:adjustRightInd w:val="0"/>
              <w:spacing w:after="0"/>
              <w:jc w:val="left"/>
              <w:rPr>
                <w:rFonts w:ascii="TimesNewRomanPSMT" w:hAnsi="TimesNewRomanPSMT" w:cs="TimesNewRomanPSMT"/>
              </w:rPr>
            </w:pPr>
            <w:r w:rsidRPr="00EA0329">
              <w:rPr>
                <w:rFonts w:ascii="TimesNewRomanPSMT" w:hAnsi="TimesNewRomanPSMT" w:cs="TimesNewRomanPSMT"/>
              </w:rPr>
              <w:t>The trigger strategy is well known and defined however the hardware implementation</w:t>
            </w:r>
            <w:r>
              <w:rPr>
                <w:rFonts w:ascii="TimesNewRomanPSMT" w:hAnsi="TimesNewRomanPSMT" w:cs="TimesNewRomanPSMT"/>
              </w:rPr>
              <w:t xml:space="preserve"> is not yet fully defined. In a</w:t>
            </w:r>
            <w:r w:rsidRPr="00EA0329">
              <w:rPr>
                <w:rFonts w:ascii="TimesNewRomanPSMT" w:hAnsi="TimesNewRomanPSMT" w:cs="TimesNewRomanPSMT"/>
              </w:rPr>
              <w:t xml:space="preserve"> liquid argon </w:t>
            </w:r>
            <w:proofErr w:type="gramStart"/>
            <w:r w:rsidRPr="00EA0329">
              <w:rPr>
                <w:rFonts w:ascii="TimesNewRomanPSMT" w:hAnsi="TimesNewRomanPSMT" w:cs="TimesNewRomanPSMT"/>
              </w:rPr>
              <w:t>detector</w:t>
            </w:r>
            <w:proofErr w:type="gramEnd"/>
            <w:r w:rsidRPr="00EA0329">
              <w:rPr>
                <w:rFonts w:ascii="TimesNewRomanPSMT" w:hAnsi="TimesNewRomanPSMT" w:cs="TimesNewRomanPSMT"/>
              </w:rPr>
              <w:t xml:space="preserve"> the light signal must play a fundamental role and this issue has not been described in any phase of this review</w:t>
            </w:r>
          </w:p>
        </w:tc>
        <w:tc>
          <w:tcPr>
            <w:tcW w:w="1620" w:type="dxa"/>
          </w:tcPr>
          <w:p w:rsidR="00E92CC9" w:rsidRPr="00DB65FB" w:rsidRDefault="00E92CC9" w:rsidP="00E92CC9">
            <w:pPr>
              <w:pStyle w:val="TOC1"/>
            </w:pPr>
          </w:p>
        </w:tc>
        <w:tc>
          <w:tcPr>
            <w:tcW w:w="3690" w:type="dxa"/>
          </w:tcPr>
          <w:p w:rsidR="00E92CC9" w:rsidRPr="00DB65FB" w:rsidRDefault="00E92CC9" w:rsidP="00E92CC9">
            <w:pPr>
              <w:pStyle w:val="TOC1"/>
            </w:pPr>
          </w:p>
        </w:tc>
        <w:tc>
          <w:tcPr>
            <w:tcW w:w="1620" w:type="dxa"/>
          </w:tcPr>
          <w:p w:rsidR="00E92CC9" w:rsidRPr="00DB65FB" w:rsidRDefault="00E92CC9" w:rsidP="00E92CC9">
            <w:pPr>
              <w:pStyle w:val="TOC1"/>
            </w:pPr>
          </w:p>
        </w:tc>
      </w:tr>
      <w:tr w:rsidR="00B55CCB" w:rsidRPr="00B455F8" w:rsidTr="0050688F">
        <w:trPr>
          <w:cantSplit/>
          <w:jc w:val="center"/>
        </w:trPr>
        <w:tc>
          <w:tcPr>
            <w:tcW w:w="720" w:type="dxa"/>
          </w:tcPr>
          <w:p w:rsidR="00B55CCB" w:rsidRPr="00DB65FB" w:rsidRDefault="00B55CCB" w:rsidP="00B55CCB">
            <w:pPr>
              <w:pStyle w:val="TOC1"/>
            </w:pPr>
          </w:p>
        </w:tc>
        <w:tc>
          <w:tcPr>
            <w:tcW w:w="6408" w:type="dxa"/>
          </w:tcPr>
          <w:p w:rsidR="00B55CCB" w:rsidRPr="00CD7B84" w:rsidRDefault="00B55CCB" w:rsidP="00B55CCB">
            <w:pPr>
              <w:spacing w:after="0"/>
              <w:rPr>
                <w:b/>
              </w:rPr>
            </w:pPr>
            <w:r>
              <w:rPr>
                <w:b/>
              </w:rPr>
              <w:t>Electronics &amp; Readout –</w:t>
            </w:r>
            <w:r>
              <w:rPr>
                <w:b/>
              </w:rPr>
              <w:t xml:space="preserve"> Infrastructure</w:t>
            </w:r>
          </w:p>
        </w:tc>
        <w:tc>
          <w:tcPr>
            <w:tcW w:w="1620" w:type="dxa"/>
          </w:tcPr>
          <w:p w:rsidR="00B55CCB" w:rsidRPr="00DB65FB" w:rsidRDefault="00B55CCB" w:rsidP="00B55CCB">
            <w:pPr>
              <w:pStyle w:val="TOC1"/>
            </w:pPr>
          </w:p>
        </w:tc>
        <w:tc>
          <w:tcPr>
            <w:tcW w:w="3690" w:type="dxa"/>
          </w:tcPr>
          <w:p w:rsidR="00B55CCB" w:rsidRPr="00DB65FB" w:rsidRDefault="00B55CCB" w:rsidP="00B55CCB">
            <w:pPr>
              <w:pStyle w:val="TOC1"/>
            </w:pPr>
          </w:p>
        </w:tc>
        <w:tc>
          <w:tcPr>
            <w:tcW w:w="1620" w:type="dxa"/>
          </w:tcPr>
          <w:p w:rsidR="00B55CCB" w:rsidRPr="00DB65FB" w:rsidRDefault="00B55CCB" w:rsidP="00B55CCB">
            <w:pPr>
              <w:pStyle w:val="TOC1"/>
            </w:pPr>
          </w:p>
        </w:tc>
      </w:tr>
      <w:tr w:rsidR="00B55CCB" w:rsidRPr="00B455F8" w:rsidTr="0050688F">
        <w:trPr>
          <w:cantSplit/>
          <w:jc w:val="center"/>
        </w:trPr>
        <w:tc>
          <w:tcPr>
            <w:tcW w:w="720" w:type="dxa"/>
          </w:tcPr>
          <w:p w:rsidR="00B55CCB" w:rsidRPr="00DB65FB" w:rsidRDefault="00B55CCB" w:rsidP="00B55CCB">
            <w:pPr>
              <w:pStyle w:val="TOC1"/>
            </w:pPr>
            <w:r>
              <w:t>27.</w:t>
            </w:r>
          </w:p>
        </w:tc>
        <w:tc>
          <w:tcPr>
            <w:tcW w:w="6408" w:type="dxa"/>
          </w:tcPr>
          <w:p w:rsidR="00B55CCB" w:rsidRPr="00F8751F" w:rsidRDefault="00B55CCB" w:rsidP="00B55CCB">
            <w:pPr>
              <w:autoSpaceDE w:val="0"/>
              <w:autoSpaceDN w:val="0"/>
              <w:adjustRightInd w:val="0"/>
              <w:spacing w:after="0"/>
              <w:jc w:val="left"/>
              <w:rPr>
                <w:rFonts w:ascii="TimesNewRomanPSMT" w:hAnsi="TimesNewRomanPSMT" w:cs="TimesNewRomanPSMT"/>
              </w:rPr>
            </w:pPr>
            <w:r w:rsidRPr="00B55CCB">
              <w:rPr>
                <w:rFonts w:ascii="TimesNewRomanPSMT" w:hAnsi="TimesNewRomanPSMT" w:cs="TimesNewRomanPSMT"/>
              </w:rPr>
              <w:t>The guidelines, with special reference to the grounding layout, should be carefully implemented.</w:t>
            </w:r>
          </w:p>
        </w:tc>
        <w:tc>
          <w:tcPr>
            <w:tcW w:w="1620" w:type="dxa"/>
          </w:tcPr>
          <w:p w:rsidR="00B55CCB" w:rsidRPr="00DB65FB" w:rsidRDefault="00B55CCB" w:rsidP="00B55CCB">
            <w:pPr>
              <w:pStyle w:val="TOC1"/>
            </w:pPr>
          </w:p>
        </w:tc>
        <w:tc>
          <w:tcPr>
            <w:tcW w:w="3690" w:type="dxa"/>
          </w:tcPr>
          <w:p w:rsidR="00B55CCB" w:rsidRPr="00DB65FB" w:rsidRDefault="00B55CCB" w:rsidP="00B55CCB">
            <w:pPr>
              <w:pStyle w:val="TOC1"/>
            </w:pPr>
          </w:p>
        </w:tc>
        <w:tc>
          <w:tcPr>
            <w:tcW w:w="1620" w:type="dxa"/>
          </w:tcPr>
          <w:p w:rsidR="00B55CCB" w:rsidRPr="00DB65FB" w:rsidRDefault="00B55CCB" w:rsidP="00B55CCB">
            <w:pPr>
              <w:pStyle w:val="TOC1"/>
            </w:pPr>
          </w:p>
        </w:tc>
      </w:tr>
      <w:tr w:rsidR="00B55CCB" w:rsidRPr="00B455F8" w:rsidTr="0050688F">
        <w:trPr>
          <w:cantSplit/>
          <w:jc w:val="center"/>
        </w:trPr>
        <w:tc>
          <w:tcPr>
            <w:tcW w:w="720" w:type="dxa"/>
          </w:tcPr>
          <w:p w:rsidR="00B55CCB" w:rsidRPr="00DB65FB" w:rsidRDefault="00B55CCB" w:rsidP="00B55CCB">
            <w:pPr>
              <w:pStyle w:val="TOC1"/>
            </w:pPr>
            <w:r>
              <w:t>28.</w:t>
            </w:r>
          </w:p>
        </w:tc>
        <w:tc>
          <w:tcPr>
            <w:tcW w:w="6408" w:type="dxa"/>
          </w:tcPr>
          <w:p w:rsidR="00B55CCB" w:rsidRPr="00DB65FB" w:rsidRDefault="00B55CCB" w:rsidP="00B55CCB">
            <w:pPr>
              <w:spacing w:after="0"/>
            </w:pPr>
            <w:r w:rsidRPr="00932262">
              <w:rPr>
                <w:color w:val="000000" w:themeColor="text1"/>
              </w:rPr>
              <w:t>A dedicated group should be established to design and implement a slow controls and monitoring system</w:t>
            </w:r>
          </w:p>
        </w:tc>
        <w:tc>
          <w:tcPr>
            <w:tcW w:w="1620" w:type="dxa"/>
          </w:tcPr>
          <w:p w:rsidR="00B55CCB" w:rsidRPr="00DB65FB" w:rsidRDefault="00B55CCB" w:rsidP="00B55CCB">
            <w:pPr>
              <w:pStyle w:val="TOC1"/>
            </w:pPr>
          </w:p>
        </w:tc>
        <w:tc>
          <w:tcPr>
            <w:tcW w:w="3690" w:type="dxa"/>
          </w:tcPr>
          <w:p w:rsidR="00B55CCB" w:rsidRPr="00DB65FB" w:rsidRDefault="00B55CCB" w:rsidP="00B55CCB">
            <w:pPr>
              <w:pStyle w:val="TOC1"/>
            </w:pPr>
          </w:p>
        </w:tc>
        <w:tc>
          <w:tcPr>
            <w:tcW w:w="1620" w:type="dxa"/>
          </w:tcPr>
          <w:p w:rsidR="00B55CCB" w:rsidRPr="00DB65FB" w:rsidRDefault="00B55CCB" w:rsidP="00B55CCB">
            <w:pPr>
              <w:pStyle w:val="TOC1"/>
            </w:pPr>
          </w:p>
        </w:tc>
      </w:tr>
      <w:tr w:rsidR="00B55CCB" w:rsidRPr="00B455F8" w:rsidTr="0050688F">
        <w:trPr>
          <w:cantSplit/>
          <w:jc w:val="center"/>
        </w:trPr>
        <w:tc>
          <w:tcPr>
            <w:tcW w:w="720" w:type="dxa"/>
          </w:tcPr>
          <w:p w:rsidR="00B55CCB" w:rsidRPr="00DB65FB" w:rsidRDefault="00B55CCB" w:rsidP="00B55CCB">
            <w:pPr>
              <w:pStyle w:val="TOC1"/>
            </w:pPr>
          </w:p>
        </w:tc>
        <w:tc>
          <w:tcPr>
            <w:tcW w:w="6408" w:type="dxa"/>
          </w:tcPr>
          <w:p w:rsidR="00B55CCB" w:rsidRPr="00CD7B84" w:rsidRDefault="00B55CCB" w:rsidP="00B55CCB">
            <w:pPr>
              <w:spacing w:after="0"/>
              <w:rPr>
                <w:b/>
              </w:rPr>
            </w:pPr>
            <w:r>
              <w:rPr>
                <w:b/>
              </w:rPr>
              <w:t>Electronics &amp; Readout –</w:t>
            </w:r>
            <w:r>
              <w:rPr>
                <w:b/>
              </w:rPr>
              <w:t xml:space="preserve"> Data Acquisition</w:t>
            </w:r>
          </w:p>
        </w:tc>
        <w:tc>
          <w:tcPr>
            <w:tcW w:w="1620" w:type="dxa"/>
          </w:tcPr>
          <w:p w:rsidR="00B55CCB" w:rsidRPr="00DB65FB" w:rsidRDefault="00B55CCB" w:rsidP="00B55CCB">
            <w:pPr>
              <w:pStyle w:val="TOC1"/>
            </w:pPr>
          </w:p>
        </w:tc>
        <w:tc>
          <w:tcPr>
            <w:tcW w:w="3690" w:type="dxa"/>
          </w:tcPr>
          <w:p w:rsidR="00B55CCB" w:rsidRPr="00DB65FB" w:rsidRDefault="00B55CCB" w:rsidP="00B55CCB">
            <w:pPr>
              <w:pStyle w:val="TOC1"/>
            </w:pPr>
          </w:p>
        </w:tc>
        <w:tc>
          <w:tcPr>
            <w:tcW w:w="1620" w:type="dxa"/>
          </w:tcPr>
          <w:p w:rsidR="00B55CCB" w:rsidRPr="00DB65FB" w:rsidRDefault="00B55CCB" w:rsidP="00B55CCB">
            <w:pPr>
              <w:pStyle w:val="TOC1"/>
            </w:pPr>
          </w:p>
        </w:tc>
      </w:tr>
      <w:tr w:rsidR="00B55CCB" w:rsidRPr="00B455F8" w:rsidTr="0050688F">
        <w:trPr>
          <w:cantSplit/>
          <w:jc w:val="center"/>
        </w:trPr>
        <w:tc>
          <w:tcPr>
            <w:tcW w:w="720" w:type="dxa"/>
          </w:tcPr>
          <w:p w:rsidR="00B55CCB" w:rsidRPr="00DB65FB" w:rsidRDefault="00B55CCB" w:rsidP="00B55CCB">
            <w:pPr>
              <w:pStyle w:val="TOC1"/>
            </w:pPr>
            <w:r>
              <w:t>29.</w:t>
            </w:r>
          </w:p>
        </w:tc>
        <w:tc>
          <w:tcPr>
            <w:tcW w:w="6408" w:type="dxa"/>
          </w:tcPr>
          <w:p w:rsidR="00B55CCB" w:rsidRPr="00F8751F" w:rsidRDefault="00B55CCB" w:rsidP="00B55CCB">
            <w:pPr>
              <w:autoSpaceDE w:val="0"/>
              <w:autoSpaceDN w:val="0"/>
              <w:adjustRightInd w:val="0"/>
              <w:spacing w:after="0"/>
              <w:jc w:val="left"/>
              <w:rPr>
                <w:rFonts w:ascii="TimesNewRomanPSMT" w:hAnsi="TimesNewRomanPSMT" w:cs="TimesNewRomanPSMT"/>
              </w:rPr>
            </w:pPr>
            <w:r w:rsidRPr="00B55CCB">
              <w:rPr>
                <w:rFonts w:ascii="TimesNewRomanPSMT" w:hAnsi="TimesNewRomanPSMT" w:cs="TimesNewRomanPSMT"/>
              </w:rPr>
              <w:t xml:space="preserve">A coordination effort is required for compatibility of programming languages used in different sections of DAQ. </w:t>
            </w:r>
            <w:proofErr w:type="spellStart"/>
            <w:r w:rsidRPr="00B55CCB">
              <w:rPr>
                <w:rFonts w:ascii="TimesNewRomanPSMT" w:hAnsi="TimesNewRomanPSMT" w:cs="TimesNewRomanPSMT"/>
              </w:rPr>
              <w:t>MicrobooNE</w:t>
            </w:r>
            <w:proofErr w:type="spellEnd"/>
            <w:r w:rsidRPr="00B55CCB">
              <w:rPr>
                <w:rFonts w:ascii="TimesNewRomanPSMT" w:hAnsi="TimesNewRomanPSMT" w:cs="TimesNewRomanPSMT"/>
              </w:rPr>
              <w:t xml:space="preserve"> experience is recognized to be a reference. The hardware implied is listed in detail. The list of people involved was also presented together with technical labor support from institutions/ Design reviews of board documentation (schematic, layout, </w:t>
            </w:r>
            <w:proofErr w:type="gramStart"/>
            <w:r w:rsidRPr="00B55CCB">
              <w:rPr>
                <w:rFonts w:ascii="TimesNewRomanPSMT" w:hAnsi="TimesNewRomanPSMT" w:cs="TimesNewRomanPSMT"/>
              </w:rPr>
              <w:t>manuals,..</w:t>
            </w:r>
            <w:proofErr w:type="gramEnd"/>
            <w:r w:rsidRPr="00B55CCB">
              <w:rPr>
                <w:rFonts w:ascii="TimesNewRomanPSMT" w:hAnsi="TimesNewRomanPSMT" w:cs="TimesNewRomanPSMT"/>
              </w:rPr>
              <w:t>) is always a good idea.  The project should decide at what level to require this review.</w:t>
            </w:r>
          </w:p>
        </w:tc>
        <w:tc>
          <w:tcPr>
            <w:tcW w:w="1620" w:type="dxa"/>
          </w:tcPr>
          <w:p w:rsidR="00B55CCB" w:rsidRPr="00DB65FB" w:rsidRDefault="00B55CCB" w:rsidP="00B55CCB">
            <w:pPr>
              <w:pStyle w:val="TOC1"/>
            </w:pPr>
          </w:p>
        </w:tc>
        <w:tc>
          <w:tcPr>
            <w:tcW w:w="3690" w:type="dxa"/>
          </w:tcPr>
          <w:p w:rsidR="00B55CCB" w:rsidRPr="00DB65FB" w:rsidRDefault="00B55CCB" w:rsidP="00B55CCB">
            <w:pPr>
              <w:pStyle w:val="TOC1"/>
            </w:pPr>
          </w:p>
        </w:tc>
        <w:tc>
          <w:tcPr>
            <w:tcW w:w="1620" w:type="dxa"/>
          </w:tcPr>
          <w:p w:rsidR="00B55CCB" w:rsidRPr="00DB65FB" w:rsidRDefault="00B55CCB" w:rsidP="00B55CCB">
            <w:pPr>
              <w:pStyle w:val="TOC1"/>
            </w:pPr>
          </w:p>
        </w:tc>
      </w:tr>
      <w:tr w:rsidR="00B55CCB" w:rsidRPr="00B455F8" w:rsidTr="0050688F">
        <w:trPr>
          <w:cantSplit/>
          <w:jc w:val="center"/>
        </w:trPr>
        <w:tc>
          <w:tcPr>
            <w:tcW w:w="720" w:type="dxa"/>
          </w:tcPr>
          <w:p w:rsidR="00B55CCB" w:rsidRPr="00DB65FB" w:rsidRDefault="00B55CCB" w:rsidP="00B55CCB">
            <w:pPr>
              <w:pStyle w:val="TOC1"/>
            </w:pPr>
          </w:p>
        </w:tc>
        <w:tc>
          <w:tcPr>
            <w:tcW w:w="6408" w:type="dxa"/>
          </w:tcPr>
          <w:p w:rsidR="00B55CCB" w:rsidRPr="00E16B70" w:rsidRDefault="00B55CCB" w:rsidP="00B55CCB">
            <w:pPr>
              <w:spacing w:after="0"/>
              <w:rPr>
                <w:b/>
              </w:rPr>
            </w:pPr>
          </w:p>
        </w:tc>
        <w:tc>
          <w:tcPr>
            <w:tcW w:w="1620" w:type="dxa"/>
          </w:tcPr>
          <w:p w:rsidR="00B55CCB" w:rsidRPr="00DB65FB" w:rsidRDefault="00B55CCB" w:rsidP="00B55CCB">
            <w:pPr>
              <w:pStyle w:val="TOC1"/>
            </w:pPr>
          </w:p>
        </w:tc>
        <w:tc>
          <w:tcPr>
            <w:tcW w:w="3690" w:type="dxa"/>
          </w:tcPr>
          <w:p w:rsidR="00B55CCB" w:rsidRPr="00DB65FB" w:rsidRDefault="00B55CCB" w:rsidP="00B55CCB">
            <w:pPr>
              <w:pStyle w:val="TOC1"/>
            </w:pPr>
          </w:p>
        </w:tc>
        <w:tc>
          <w:tcPr>
            <w:tcW w:w="1620" w:type="dxa"/>
          </w:tcPr>
          <w:p w:rsidR="00B55CCB" w:rsidRPr="00DB65FB" w:rsidRDefault="00B55CCB" w:rsidP="00B55CCB">
            <w:pPr>
              <w:pStyle w:val="TOC1"/>
            </w:pPr>
          </w:p>
        </w:tc>
      </w:tr>
    </w:tbl>
    <w:p w:rsidR="00DD4C2C" w:rsidRDefault="00DD4C2C" w:rsidP="00DD4C2C">
      <w:pPr>
        <w:spacing w:after="0"/>
        <w:jc w:val="left"/>
      </w:pPr>
      <w:bookmarkStart w:id="1" w:name="_GoBack"/>
      <w:bookmarkEnd w:id="1"/>
    </w:p>
    <w:p w:rsidR="00DD4C2C" w:rsidRDefault="00DD4C2C"/>
    <w:sectPr w:rsidR="00DD4C2C" w:rsidSect="00DD4C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857"/>
    <w:multiLevelType w:val="hybridMultilevel"/>
    <w:tmpl w:val="96EECEF8"/>
    <w:lvl w:ilvl="0" w:tplc="BB52C81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B1959"/>
    <w:multiLevelType w:val="hybridMultilevel"/>
    <w:tmpl w:val="1DF4A25C"/>
    <w:lvl w:ilvl="0" w:tplc="86F8413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DA5"/>
    <w:multiLevelType w:val="hybridMultilevel"/>
    <w:tmpl w:val="0040029C"/>
    <w:lvl w:ilvl="0" w:tplc="86F8413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E44DE"/>
    <w:multiLevelType w:val="hybridMultilevel"/>
    <w:tmpl w:val="832CC922"/>
    <w:lvl w:ilvl="0" w:tplc="BB52C81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91C2F"/>
    <w:multiLevelType w:val="hybridMultilevel"/>
    <w:tmpl w:val="F052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B4AEF"/>
    <w:multiLevelType w:val="multilevel"/>
    <w:tmpl w:val="9C4817E2"/>
    <w:lvl w:ilvl="0">
      <w:start w:val="1"/>
      <w:numFmt w:val="decimal"/>
      <w:pStyle w:val="ListNumberRecommendation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036D07"/>
    <w:multiLevelType w:val="hybridMultilevel"/>
    <w:tmpl w:val="D7C6441A"/>
    <w:lvl w:ilvl="0" w:tplc="BB52C81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CB"/>
    <w:rsid w:val="00074E9E"/>
    <w:rsid w:val="000A5568"/>
    <w:rsid w:val="000E0D51"/>
    <w:rsid w:val="001A1B25"/>
    <w:rsid w:val="00390824"/>
    <w:rsid w:val="003B0984"/>
    <w:rsid w:val="0044140C"/>
    <w:rsid w:val="0050688F"/>
    <w:rsid w:val="0053077F"/>
    <w:rsid w:val="00592345"/>
    <w:rsid w:val="007B5B40"/>
    <w:rsid w:val="008D20EB"/>
    <w:rsid w:val="0096188B"/>
    <w:rsid w:val="00A348E2"/>
    <w:rsid w:val="00B40A11"/>
    <w:rsid w:val="00B55CCB"/>
    <w:rsid w:val="00B76313"/>
    <w:rsid w:val="00BA06CB"/>
    <w:rsid w:val="00BD0FCB"/>
    <w:rsid w:val="00C905F2"/>
    <w:rsid w:val="00C95899"/>
    <w:rsid w:val="00C97131"/>
    <w:rsid w:val="00CD7B84"/>
    <w:rsid w:val="00CE0072"/>
    <w:rsid w:val="00CE6277"/>
    <w:rsid w:val="00D156AB"/>
    <w:rsid w:val="00DB65FB"/>
    <w:rsid w:val="00DD4C2C"/>
    <w:rsid w:val="00E0570A"/>
    <w:rsid w:val="00E16B70"/>
    <w:rsid w:val="00E637CD"/>
    <w:rsid w:val="00E92CC9"/>
    <w:rsid w:val="00EA0329"/>
    <w:rsid w:val="00F124F9"/>
    <w:rsid w:val="00F8751F"/>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6E46"/>
  <w15:chartTrackingRefBased/>
  <w15:docId w15:val="{F8A50B58-2E5B-4942-A778-99818500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CB"/>
    <w:pPr>
      <w:spacing w:after="240"/>
      <w:jc w:val="both"/>
    </w:pPr>
    <w:rPr>
      <w:sz w:val="24"/>
      <w:szCs w:val="24"/>
    </w:rPr>
  </w:style>
  <w:style w:type="paragraph" w:styleId="Heading1">
    <w:name w:val="heading 1"/>
    <w:basedOn w:val="Normal"/>
    <w:next w:val="Normal"/>
    <w:link w:val="Heading1Char"/>
    <w:uiPriority w:val="9"/>
    <w:qFormat/>
    <w:rsid w:val="00E57549"/>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E57549"/>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E57549"/>
    <w:pPr>
      <w:keepNext/>
      <w:keepLines/>
      <w:spacing w:before="200" w:after="0"/>
      <w:outlineLvl w:val="2"/>
    </w:pPr>
    <w:rPr>
      <w:rFonts w:ascii="Arial" w:hAnsi="Arial"/>
      <w:b/>
      <w:bCs/>
      <w:color w:val="4F81BD"/>
    </w:rPr>
  </w:style>
  <w:style w:type="paragraph" w:styleId="Heading4">
    <w:name w:val="heading 4"/>
    <w:basedOn w:val="Normal"/>
    <w:next w:val="Normal"/>
    <w:link w:val="Heading4Char"/>
    <w:uiPriority w:val="9"/>
    <w:qFormat/>
    <w:rsid w:val="00E57549"/>
    <w:pPr>
      <w:keepNext/>
      <w:keepLines/>
      <w:spacing w:before="200" w:after="0"/>
      <w:outlineLvl w:val="3"/>
    </w:pPr>
    <w:rPr>
      <w:rFonts w:ascii="Arial" w:hAnsi="Arial"/>
      <w:b/>
      <w:bCs/>
      <w:i/>
      <w:iCs/>
      <w:color w:val="4F81BD"/>
    </w:rPr>
  </w:style>
  <w:style w:type="paragraph" w:styleId="Heading5">
    <w:name w:val="heading 5"/>
    <w:basedOn w:val="Normal"/>
    <w:next w:val="Normal"/>
    <w:link w:val="Heading5Char"/>
    <w:uiPriority w:val="9"/>
    <w:qFormat/>
    <w:rsid w:val="00E57549"/>
    <w:pPr>
      <w:keepNext/>
      <w:keepLines/>
      <w:spacing w:before="200" w:after="0"/>
      <w:outlineLvl w:val="4"/>
    </w:pPr>
    <w:rPr>
      <w:rFonts w:ascii="Arial" w:hAnsi="Arial"/>
      <w:color w:val="243F60"/>
    </w:rPr>
  </w:style>
  <w:style w:type="paragraph" w:styleId="Heading6">
    <w:name w:val="heading 6"/>
    <w:basedOn w:val="Normal"/>
    <w:next w:val="Normal"/>
    <w:link w:val="Heading6Char"/>
    <w:uiPriority w:val="9"/>
    <w:qFormat/>
    <w:rsid w:val="00E57549"/>
    <w:pPr>
      <w:keepNext/>
      <w:keepLines/>
      <w:spacing w:before="200" w:after="0"/>
      <w:outlineLvl w:val="5"/>
    </w:pPr>
    <w:rPr>
      <w:rFonts w:ascii="Arial" w:hAnsi="Arial"/>
      <w:i/>
      <w:iCs/>
      <w:color w:val="243F60"/>
    </w:rPr>
  </w:style>
  <w:style w:type="paragraph" w:styleId="Heading7">
    <w:name w:val="heading 7"/>
    <w:basedOn w:val="Normal"/>
    <w:next w:val="Normal"/>
    <w:link w:val="Heading7Char"/>
    <w:uiPriority w:val="9"/>
    <w:qFormat/>
    <w:rsid w:val="00E57549"/>
    <w:pPr>
      <w:keepNext/>
      <w:keepLines/>
      <w:spacing w:before="200" w:after="0"/>
      <w:outlineLvl w:val="6"/>
    </w:pPr>
    <w:rPr>
      <w:rFonts w:ascii="Arial" w:hAnsi="Arial"/>
      <w:i/>
      <w:iCs/>
      <w:color w:val="404040"/>
    </w:rPr>
  </w:style>
  <w:style w:type="paragraph" w:styleId="Heading8">
    <w:name w:val="heading 8"/>
    <w:basedOn w:val="Normal"/>
    <w:next w:val="Normal"/>
    <w:link w:val="Heading8Char"/>
    <w:uiPriority w:val="9"/>
    <w:qFormat/>
    <w:rsid w:val="00E57549"/>
    <w:pPr>
      <w:keepNext/>
      <w:keepLines/>
      <w:spacing w:before="200" w:after="0"/>
      <w:outlineLvl w:val="7"/>
    </w:pPr>
    <w:rPr>
      <w:rFonts w:ascii="Arial" w:hAnsi="Arial"/>
      <w:color w:val="4F81BD"/>
      <w:sz w:val="20"/>
      <w:szCs w:val="20"/>
    </w:rPr>
  </w:style>
  <w:style w:type="paragraph" w:styleId="Heading9">
    <w:name w:val="heading 9"/>
    <w:basedOn w:val="Normal"/>
    <w:next w:val="Normal"/>
    <w:link w:val="Heading9Char"/>
    <w:uiPriority w:val="9"/>
    <w:qFormat/>
    <w:rsid w:val="00E57549"/>
    <w:pPr>
      <w:keepNext/>
      <w:keepLines/>
      <w:spacing w:before="200" w:after="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49"/>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semiHidden/>
    <w:rsid w:val="00E57549"/>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E57549"/>
    <w:rPr>
      <w:rFonts w:ascii="Arial" w:eastAsia="Times New Roman" w:hAnsi="Arial" w:cs="Times New Roman"/>
      <w:b/>
      <w:bCs/>
      <w:color w:val="4F81BD"/>
    </w:rPr>
  </w:style>
  <w:style w:type="character" w:customStyle="1" w:styleId="Heading4Char">
    <w:name w:val="Heading 4 Char"/>
    <w:basedOn w:val="DefaultParagraphFont"/>
    <w:link w:val="Heading4"/>
    <w:uiPriority w:val="9"/>
    <w:rsid w:val="00E57549"/>
    <w:rPr>
      <w:rFonts w:ascii="Arial" w:eastAsia="Times New Roman" w:hAnsi="Arial" w:cs="Times New Roman"/>
      <w:b/>
      <w:bCs/>
      <w:i/>
      <w:iCs/>
      <w:color w:val="4F81BD"/>
    </w:rPr>
  </w:style>
  <w:style w:type="character" w:customStyle="1" w:styleId="Heading5Char">
    <w:name w:val="Heading 5 Char"/>
    <w:basedOn w:val="DefaultParagraphFont"/>
    <w:link w:val="Heading5"/>
    <w:uiPriority w:val="9"/>
    <w:rsid w:val="00E57549"/>
    <w:rPr>
      <w:rFonts w:ascii="Arial" w:eastAsia="Times New Roman" w:hAnsi="Arial" w:cs="Times New Roman"/>
      <w:color w:val="243F60"/>
    </w:rPr>
  </w:style>
  <w:style w:type="character" w:customStyle="1" w:styleId="Heading6Char">
    <w:name w:val="Heading 6 Char"/>
    <w:basedOn w:val="DefaultParagraphFont"/>
    <w:link w:val="Heading6"/>
    <w:uiPriority w:val="9"/>
    <w:rsid w:val="00E57549"/>
    <w:rPr>
      <w:rFonts w:ascii="Arial" w:eastAsia="Times New Roman" w:hAnsi="Arial" w:cs="Times New Roman"/>
      <w:i/>
      <w:iCs/>
      <w:color w:val="243F60"/>
    </w:rPr>
  </w:style>
  <w:style w:type="character" w:customStyle="1" w:styleId="Heading7Char">
    <w:name w:val="Heading 7 Char"/>
    <w:basedOn w:val="DefaultParagraphFont"/>
    <w:link w:val="Heading7"/>
    <w:uiPriority w:val="9"/>
    <w:rsid w:val="00E57549"/>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E57549"/>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rsid w:val="00E57549"/>
    <w:rPr>
      <w:rFonts w:ascii="Arial" w:eastAsia="Times New Roman" w:hAnsi="Arial" w:cs="Times New Roman"/>
      <w:i/>
      <w:iCs/>
      <w:color w:val="404040"/>
      <w:sz w:val="20"/>
      <w:szCs w:val="20"/>
    </w:rPr>
  </w:style>
  <w:style w:type="paragraph" w:styleId="Caption">
    <w:name w:val="caption"/>
    <w:basedOn w:val="Normal"/>
    <w:next w:val="Normal"/>
    <w:uiPriority w:val="35"/>
    <w:qFormat/>
    <w:rsid w:val="00E57549"/>
    <w:rPr>
      <w:b/>
      <w:bCs/>
      <w:color w:val="4F81BD"/>
      <w:sz w:val="18"/>
      <w:szCs w:val="18"/>
    </w:rPr>
  </w:style>
  <w:style w:type="paragraph" w:styleId="Title">
    <w:name w:val="Title"/>
    <w:basedOn w:val="Normal"/>
    <w:next w:val="Normal"/>
    <w:link w:val="TitleChar"/>
    <w:uiPriority w:val="10"/>
    <w:qFormat/>
    <w:rsid w:val="00E57549"/>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E57549"/>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E57549"/>
    <w:pPr>
      <w:numPr>
        <w:ilvl w:val="1"/>
      </w:numPr>
    </w:pPr>
    <w:rPr>
      <w:rFonts w:ascii="Arial" w:hAnsi="Arial"/>
      <w:i/>
      <w:iCs/>
      <w:color w:val="4F81BD"/>
      <w:spacing w:val="15"/>
    </w:rPr>
  </w:style>
  <w:style w:type="character" w:customStyle="1" w:styleId="SubtitleChar">
    <w:name w:val="Subtitle Char"/>
    <w:basedOn w:val="DefaultParagraphFont"/>
    <w:link w:val="Subtitle"/>
    <w:uiPriority w:val="11"/>
    <w:rsid w:val="00E57549"/>
    <w:rPr>
      <w:rFonts w:ascii="Arial" w:eastAsia="Times New Roman" w:hAnsi="Arial" w:cs="Times New Roman"/>
      <w:i/>
      <w:iCs/>
      <w:color w:val="4F81BD"/>
      <w:spacing w:val="15"/>
      <w:sz w:val="24"/>
      <w:szCs w:val="24"/>
    </w:rPr>
  </w:style>
  <w:style w:type="character" w:styleId="Strong">
    <w:name w:val="Strong"/>
    <w:basedOn w:val="DefaultParagraphFont"/>
    <w:uiPriority w:val="22"/>
    <w:qFormat/>
    <w:rsid w:val="00E57549"/>
    <w:rPr>
      <w:b/>
      <w:bCs/>
    </w:rPr>
  </w:style>
  <w:style w:type="character" w:styleId="Emphasis">
    <w:name w:val="Emphasis"/>
    <w:basedOn w:val="DefaultParagraphFont"/>
    <w:uiPriority w:val="20"/>
    <w:qFormat/>
    <w:rsid w:val="00E57549"/>
    <w:rPr>
      <w:i/>
      <w:iCs/>
    </w:rPr>
  </w:style>
  <w:style w:type="paragraph" w:styleId="NoSpacing">
    <w:name w:val="No Spacing"/>
    <w:uiPriority w:val="1"/>
    <w:qFormat/>
    <w:rsid w:val="00E57549"/>
    <w:rPr>
      <w:sz w:val="22"/>
      <w:szCs w:val="22"/>
      <w:lang w:bidi="en-US"/>
    </w:rPr>
  </w:style>
  <w:style w:type="paragraph" w:customStyle="1" w:styleId="ColorfulList-Accent11">
    <w:name w:val="Colorful List - Accent 11"/>
    <w:basedOn w:val="Normal"/>
    <w:uiPriority w:val="34"/>
    <w:qFormat/>
    <w:rsid w:val="00E57549"/>
    <w:pPr>
      <w:ind w:left="720"/>
      <w:contextualSpacing/>
    </w:pPr>
  </w:style>
  <w:style w:type="paragraph" w:customStyle="1" w:styleId="ColorfulGrid-Accent11">
    <w:name w:val="Colorful Grid - Accent 11"/>
    <w:basedOn w:val="Normal"/>
    <w:next w:val="Normal"/>
    <w:link w:val="ColorfulGrid-Accent1Char"/>
    <w:uiPriority w:val="29"/>
    <w:qFormat/>
    <w:rsid w:val="00E57549"/>
    <w:rPr>
      <w:i/>
      <w:iCs/>
      <w:color w:val="000000"/>
    </w:rPr>
  </w:style>
  <w:style w:type="character" w:customStyle="1" w:styleId="ColorfulGrid-Accent1Char">
    <w:name w:val="Colorful Grid - Accent 1 Char"/>
    <w:basedOn w:val="DefaultParagraphFont"/>
    <w:link w:val="ColorfulGrid-Accent11"/>
    <w:uiPriority w:val="29"/>
    <w:rsid w:val="00E57549"/>
    <w:rPr>
      <w:i/>
      <w:iCs/>
      <w:color w:val="000000"/>
    </w:rPr>
  </w:style>
  <w:style w:type="paragraph" w:customStyle="1" w:styleId="LightShading-Accent21">
    <w:name w:val="Light Shading - Accent 21"/>
    <w:basedOn w:val="Normal"/>
    <w:next w:val="Normal"/>
    <w:link w:val="LightShading-Accent2Char"/>
    <w:uiPriority w:val="30"/>
    <w:qFormat/>
    <w:rsid w:val="00E5754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E57549"/>
    <w:rPr>
      <w:b/>
      <w:bCs/>
      <w:i/>
      <w:iCs/>
      <w:color w:val="4F81BD"/>
    </w:rPr>
  </w:style>
  <w:style w:type="character" w:styleId="SubtleEmphasis">
    <w:name w:val="Subtle Emphasis"/>
    <w:basedOn w:val="DefaultParagraphFont"/>
    <w:uiPriority w:val="19"/>
    <w:qFormat/>
    <w:rsid w:val="00E57549"/>
    <w:rPr>
      <w:i/>
      <w:iCs/>
      <w:color w:val="808080"/>
    </w:rPr>
  </w:style>
  <w:style w:type="character" w:styleId="IntenseEmphasis">
    <w:name w:val="Intense Emphasis"/>
    <w:basedOn w:val="DefaultParagraphFont"/>
    <w:uiPriority w:val="21"/>
    <w:qFormat/>
    <w:rsid w:val="00E57549"/>
    <w:rPr>
      <w:b/>
      <w:bCs/>
      <w:i/>
      <w:iCs/>
      <w:color w:val="4F81BD"/>
    </w:rPr>
  </w:style>
  <w:style w:type="character" w:styleId="SubtleReference">
    <w:name w:val="Subtle Reference"/>
    <w:basedOn w:val="DefaultParagraphFont"/>
    <w:uiPriority w:val="31"/>
    <w:qFormat/>
    <w:rsid w:val="00E57549"/>
    <w:rPr>
      <w:smallCaps/>
      <w:color w:val="C0504D"/>
      <w:u w:val="single"/>
    </w:rPr>
  </w:style>
  <w:style w:type="character" w:styleId="IntenseReference">
    <w:name w:val="Intense Reference"/>
    <w:basedOn w:val="DefaultParagraphFont"/>
    <w:uiPriority w:val="32"/>
    <w:qFormat/>
    <w:rsid w:val="00E57549"/>
    <w:rPr>
      <w:b/>
      <w:bCs/>
      <w:smallCaps/>
      <w:color w:val="C0504D"/>
      <w:spacing w:val="5"/>
      <w:u w:val="single"/>
    </w:rPr>
  </w:style>
  <w:style w:type="character" w:styleId="BookTitle">
    <w:name w:val="Book Title"/>
    <w:basedOn w:val="DefaultParagraphFont"/>
    <w:uiPriority w:val="33"/>
    <w:qFormat/>
    <w:rsid w:val="00E57549"/>
    <w:rPr>
      <w:b/>
      <w:bCs/>
      <w:smallCaps/>
      <w:spacing w:val="5"/>
    </w:rPr>
  </w:style>
  <w:style w:type="paragraph" w:styleId="TOCHeading">
    <w:name w:val="TOC Heading"/>
    <w:basedOn w:val="Heading1"/>
    <w:next w:val="Normal"/>
    <w:uiPriority w:val="39"/>
    <w:semiHidden/>
    <w:unhideWhenUsed/>
    <w:qFormat/>
    <w:rsid w:val="00E57549"/>
    <w:pPr>
      <w:outlineLvl w:val="9"/>
    </w:pPr>
  </w:style>
  <w:style w:type="table" w:styleId="TableGrid">
    <w:name w:val="Table Grid"/>
    <w:basedOn w:val="TableNormal"/>
    <w:rsid w:val="00BD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Center">
    <w:name w:val="*10 pt Center"/>
    <w:basedOn w:val="Normal"/>
    <w:qFormat/>
    <w:rsid w:val="00BD0FCB"/>
    <w:pPr>
      <w:spacing w:after="0"/>
      <w:jc w:val="center"/>
    </w:pPr>
    <w:rPr>
      <w:sz w:val="20"/>
    </w:rPr>
  </w:style>
  <w:style w:type="paragraph" w:styleId="TOC1">
    <w:name w:val="toc 1"/>
    <w:basedOn w:val="Normal"/>
    <w:next w:val="Normal"/>
    <w:autoRedefine/>
    <w:uiPriority w:val="39"/>
    <w:rsid w:val="00F124F9"/>
    <w:pPr>
      <w:spacing w:after="0"/>
      <w:jc w:val="center"/>
    </w:pPr>
    <w:rPr>
      <w:b/>
    </w:rPr>
  </w:style>
  <w:style w:type="paragraph" w:customStyle="1" w:styleId="ListNumberRecommendations">
    <w:name w:val="*List Number Recommendations"/>
    <w:basedOn w:val="ListNumber2"/>
    <w:link w:val="ListNumberRecommendationsChar"/>
    <w:qFormat/>
    <w:rsid w:val="00BD0FCB"/>
    <w:pPr>
      <w:tabs>
        <w:tab w:val="left" w:pos="720"/>
      </w:tabs>
      <w:contextualSpacing w:val="0"/>
    </w:pPr>
  </w:style>
  <w:style w:type="character" w:customStyle="1" w:styleId="ListNumberRecommendationsChar">
    <w:name w:val="*List Number Recommendations Char"/>
    <w:basedOn w:val="DefaultParagraphFont"/>
    <w:link w:val="ListNumberRecommendations"/>
    <w:rsid w:val="00BD0FCB"/>
    <w:rPr>
      <w:rFonts w:ascii="Times New Roman" w:eastAsia="Times New Roman" w:hAnsi="Times New Roman" w:cs="Times New Roman"/>
      <w:sz w:val="24"/>
      <w:szCs w:val="24"/>
      <w:lang w:bidi="ar-SA"/>
    </w:rPr>
  </w:style>
  <w:style w:type="paragraph" w:customStyle="1" w:styleId="11ptCenter">
    <w:name w:val="*11 pt Center"/>
    <w:basedOn w:val="10ptCenter"/>
    <w:rsid w:val="00BD0FCB"/>
    <w:rPr>
      <w:sz w:val="22"/>
    </w:rPr>
  </w:style>
  <w:style w:type="paragraph" w:customStyle="1" w:styleId="Heading1TOC2NotNumbered">
    <w:name w:val="*Heading1 TOC2 Not Numbered"/>
    <w:basedOn w:val="Normal"/>
    <w:link w:val="Heading1TOC2NotNumberedChar"/>
    <w:qFormat/>
    <w:rsid w:val="00BD0FCB"/>
    <w:pPr>
      <w:keepNext/>
      <w:spacing w:after="0"/>
      <w:jc w:val="center"/>
      <w:outlineLvl w:val="1"/>
    </w:pPr>
    <w:rPr>
      <w:rFonts w:ascii="Cambria" w:hAnsi="Cambria"/>
      <w:b/>
      <w:color w:val="244061"/>
      <w:sz w:val="28"/>
    </w:rPr>
  </w:style>
  <w:style w:type="character" w:customStyle="1" w:styleId="Heading1TOC2NotNumberedChar">
    <w:name w:val="*Heading1 TOC2 Not Numbered Char"/>
    <w:basedOn w:val="DefaultParagraphFont"/>
    <w:link w:val="Heading1TOC2NotNumbered"/>
    <w:rsid w:val="00BD0FCB"/>
    <w:rPr>
      <w:rFonts w:ascii="Cambria" w:eastAsia="Times New Roman" w:hAnsi="Cambria" w:cs="Times New Roman"/>
      <w:b/>
      <w:color w:val="244061"/>
      <w:sz w:val="28"/>
      <w:szCs w:val="24"/>
      <w:lang w:bidi="ar-SA"/>
    </w:rPr>
  </w:style>
  <w:style w:type="paragraph" w:styleId="ListNumber2">
    <w:name w:val="List Number 2"/>
    <w:basedOn w:val="Normal"/>
    <w:uiPriority w:val="99"/>
    <w:semiHidden/>
    <w:unhideWhenUsed/>
    <w:rsid w:val="00BD0FCB"/>
    <w:pPr>
      <w:ind w:left="360" w:hanging="360"/>
      <w:contextualSpacing/>
    </w:pPr>
  </w:style>
  <w:style w:type="paragraph" w:styleId="BalloonText">
    <w:name w:val="Balloon Text"/>
    <w:basedOn w:val="Normal"/>
    <w:link w:val="BalloonTextChar"/>
    <w:uiPriority w:val="99"/>
    <w:semiHidden/>
    <w:unhideWhenUsed/>
    <w:rsid w:val="00BD0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CB"/>
    <w:rPr>
      <w:rFonts w:ascii="Tahoma" w:eastAsia="Times New Roman" w:hAnsi="Tahoma" w:cs="Tahoma"/>
      <w:sz w:val="16"/>
      <w:szCs w:val="16"/>
      <w:lang w:bidi="ar-SA"/>
    </w:rPr>
  </w:style>
  <w:style w:type="paragraph" w:customStyle="1" w:styleId="Default">
    <w:name w:val="Default"/>
    <w:rsid w:val="00CE00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Johnson</dc:creator>
  <cp:keywords/>
  <dc:description/>
  <cp:lastModifiedBy>cjames</cp:lastModifiedBy>
  <cp:revision>7</cp:revision>
  <dcterms:created xsi:type="dcterms:W3CDTF">2016-01-06T17:42:00Z</dcterms:created>
  <dcterms:modified xsi:type="dcterms:W3CDTF">2016-01-06T18:23:00Z</dcterms:modified>
</cp:coreProperties>
</file>